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7F1" w:rsidRPr="00625D95" w:rsidRDefault="00AD47F1" w:rsidP="00FB067F">
      <w:pPr>
        <w:rPr>
          <w:lang w:val="sr-Cyrl-CS"/>
        </w:rPr>
      </w:pPr>
      <w:bookmarkStart w:id="0" w:name="_GoBack"/>
      <w:bookmarkEnd w:id="0"/>
    </w:p>
    <w:p w:rsidR="00AD47F1" w:rsidRPr="00A53853" w:rsidRDefault="00AD47F1" w:rsidP="00FB067F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 xml:space="preserve">ОБЈАШЊЕЊЕ ОЗНАКА У ТАБЕЛАМА: </w:t>
      </w:r>
    </w:p>
    <w:p w:rsidR="00AD47F1" w:rsidRPr="00A53853" w:rsidRDefault="00AD47F1" w:rsidP="00FB067F">
      <w:pPr>
        <w:rPr>
          <w:lang w:val="sr-Cyrl-CS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"/>
        <w:gridCol w:w="4712"/>
        <w:gridCol w:w="784"/>
        <w:gridCol w:w="849"/>
        <w:gridCol w:w="766"/>
        <w:gridCol w:w="1581"/>
      </w:tblGrid>
      <w:tr w:rsidR="00AD47F1" w:rsidRPr="00A53853">
        <w:trPr>
          <w:tblHeader/>
        </w:trPr>
        <w:tc>
          <w:tcPr>
            <w:tcW w:w="969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Ознака стандарда</w:t>
            </w:r>
          </w:p>
        </w:tc>
        <w:tc>
          <w:tcPr>
            <w:tcW w:w="4712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b/>
                <w:bCs/>
                <w:lang w:val="sr-Cyrl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Сертификација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/</w:t>
            </w:r>
          </w:p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акреди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тација</w:t>
            </w:r>
            <w:proofErr w:type="spellEnd"/>
          </w:p>
        </w:tc>
        <w:tc>
          <w:tcPr>
            <w:tcW w:w="849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proofErr w:type="spellStart"/>
            <w:r w:rsidRPr="00A53853">
              <w:rPr>
                <w:sz w:val="20"/>
                <w:szCs w:val="20"/>
                <w:lang w:val="sr-Cyrl-CS"/>
              </w:rPr>
              <w:t>Катего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-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рија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 xml:space="preserve"> установе </w:t>
            </w:r>
          </w:p>
        </w:tc>
        <w:tc>
          <w:tcPr>
            <w:tcW w:w="766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 xml:space="preserve">Степен 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задо</w:t>
            </w:r>
            <w:proofErr w:type="spellEnd"/>
            <w:r w:rsidRPr="00A53853">
              <w:rPr>
                <w:sz w:val="20"/>
                <w:szCs w:val="20"/>
                <w:lang w:val="sr-Cyrl-CS"/>
              </w:rPr>
              <w:t>-воље-</w:t>
            </w:r>
            <w:proofErr w:type="spellStart"/>
            <w:r w:rsidRPr="00A53853">
              <w:rPr>
                <w:sz w:val="20"/>
                <w:szCs w:val="20"/>
                <w:lang w:val="sr-Cyrl-CS"/>
              </w:rPr>
              <w:t>ња</w:t>
            </w:r>
            <w:proofErr w:type="spellEnd"/>
          </w:p>
        </w:tc>
        <w:tc>
          <w:tcPr>
            <w:tcW w:w="1581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  <w:r w:rsidRPr="00A53853">
              <w:rPr>
                <w:sz w:val="20"/>
                <w:szCs w:val="20"/>
                <w:lang w:val="sr-Cyrl-CS"/>
              </w:rPr>
              <w:t>Напомена</w:t>
            </w:r>
          </w:p>
        </w:tc>
      </w:tr>
      <w:tr w:rsidR="00AD47F1">
        <w:trPr>
          <w:tblHeader/>
        </w:trPr>
        <w:tc>
          <w:tcPr>
            <w:tcW w:w="969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1</w:t>
            </w:r>
          </w:p>
        </w:tc>
        <w:tc>
          <w:tcPr>
            <w:tcW w:w="4712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2</w:t>
            </w:r>
          </w:p>
        </w:tc>
        <w:tc>
          <w:tcPr>
            <w:tcW w:w="784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3</w:t>
            </w:r>
          </w:p>
        </w:tc>
        <w:tc>
          <w:tcPr>
            <w:tcW w:w="849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4</w:t>
            </w:r>
          </w:p>
        </w:tc>
        <w:tc>
          <w:tcPr>
            <w:tcW w:w="766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5</w:t>
            </w:r>
          </w:p>
        </w:tc>
        <w:tc>
          <w:tcPr>
            <w:tcW w:w="1581" w:type="dxa"/>
            <w:shd w:val="clear" w:color="auto" w:fill="CCCCCC"/>
          </w:tcPr>
          <w:p w:rsidR="00AD47F1" w:rsidRPr="00A53853" w:rsidRDefault="00AD47F1" w:rsidP="00FB067F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Cyrl-CS"/>
              </w:rPr>
            </w:pPr>
            <w:r w:rsidRPr="00A53853">
              <w:rPr>
                <w:sz w:val="18"/>
                <w:szCs w:val="18"/>
                <w:lang w:val="sr-Cyrl-CS"/>
              </w:rPr>
              <w:t>6</w:t>
            </w:r>
          </w:p>
        </w:tc>
      </w:tr>
      <w:tr w:rsidR="00AD47F1">
        <w:tc>
          <w:tcPr>
            <w:tcW w:w="969" w:type="dxa"/>
          </w:tcPr>
          <w:p w:rsidR="00AD47F1" w:rsidRPr="00A53853" w:rsidRDefault="00AD47F1" w:rsidP="00FB067F">
            <w:pPr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4712" w:type="dxa"/>
          </w:tcPr>
          <w:p w:rsidR="00AD47F1" w:rsidRPr="00A53853" w:rsidRDefault="00AD47F1" w:rsidP="00FB067F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  <w:tc>
          <w:tcPr>
            <w:tcW w:w="784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849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766" w:type="dxa"/>
            <w:vAlign w:val="center"/>
          </w:tcPr>
          <w:p w:rsidR="00AD47F1" w:rsidRPr="00A53853" w:rsidRDefault="00AD47F1" w:rsidP="00FB067F">
            <w:pPr>
              <w:pStyle w:val="a2"/>
              <w:snapToGrid w:val="0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1581" w:type="dxa"/>
          </w:tcPr>
          <w:p w:rsidR="00AD47F1" w:rsidRPr="00A53853" w:rsidRDefault="00AD47F1" w:rsidP="00FB067F">
            <w:pPr>
              <w:pStyle w:val="a2"/>
              <w:snapToGrid w:val="0"/>
              <w:rPr>
                <w:sz w:val="20"/>
                <w:szCs w:val="20"/>
                <w:lang w:val="sr-Cyrl-CS"/>
              </w:rPr>
            </w:pPr>
          </w:p>
        </w:tc>
      </w:tr>
    </w:tbl>
    <w:p w:rsidR="00AD47F1" w:rsidRPr="00A53853" w:rsidRDefault="00AD47F1" w:rsidP="00FB067F">
      <w:pPr>
        <w:rPr>
          <w:lang w:val="sr-Cyrl-CS"/>
        </w:rPr>
      </w:pPr>
    </w:p>
    <w:p w:rsidR="00AD47F1" w:rsidRPr="00A84A08" w:rsidRDefault="00AD47F1" w:rsidP="00FB067F">
      <w:pPr>
        <w:snapToGrid w:val="0"/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1: Ова колона садржи нумеричку ознаку стандарда која олакшава позивање на конкретни стандард</w:t>
      </w:r>
      <w:r>
        <w:rPr>
          <w:sz w:val="20"/>
          <w:szCs w:val="20"/>
          <w:lang w:val="sr-Latn-BA"/>
        </w:rPr>
        <w:t>.</w:t>
      </w:r>
    </w:p>
    <w:p w:rsidR="00AD47F1" w:rsidRPr="00A53853" w:rsidRDefault="00AD47F1" w:rsidP="00FB067F">
      <w:pPr>
        <w:ind w:left="851" w:hanging="851"/>
        <w:rPr>
          <w:sz w:val="20"/>
          <w:szCs w:val="20"/>
          <w:lang w:val="sr-Cyrl-CS"/>
        </w:rPr>
      </w:pPr>
      <w:r w:rsidRPr="00A53853">
        <w:rPr>
          <w:sz w:val="20"/>
          <w:szCs w:val="20"/>
          <w:lang w:val="sr-Cyrl-CS"/>
        </w:rPr>
        <w:t>Колона 2: Ова колона садржи исказ главног захтјева и других, с њиме повезаних захтјева. Главни захтјев дат је масним, а повезани захтјеви - обичним словима.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3: Ова колона упућује да ли се захтјев односи на сертификацију  (ознака С) или акредитацију (ознака А)</w:t>
      </w:r>
      <w:r>
        <w:rPr>
          <w:sz w:val="20"/>
          <w:szCs w:val="20"/>
          <w:lang w:val="sr-Latn-BA"/>
        </w:rPr>
        <w:t>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4: Ова колона упућује на категорију болнице за коју важи дати захтјев (ознака 1-4 према Правилнику о категоризацији болница)</w:t>
      </w:r>
      <w:r>
        <w:rPr>
          <w:sz w:val="20"/>
          <w:szCs w:val="20"/>
          <w:lang w:val="sr-Latn-BA"/>
        </w:rPr>
        <w:t>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 xml:space="preserve">Колона 5: Ова се колона користи код </w:t>
      </w:r>
      <w:proofErr w:type="spellStart"/>
      <w:r w:rsidRPr="00A53853">
        <w:rPr>
          <w:sz w:val="20"/>
          <w:szCs w:val="20"/>
          <w:lang w:val="sr-Cyrl-CS"/>
        </w:rPr>
        <w:t>самооцјењивања</w:t>
      </w:r>
      <w:proofErr w:type="spellEnd"/>
      <w:r w:rsidRPr="00A53853">
        <w:rPr>
          <w:sz w:val="20"/>
          <w:szCs w:val="20"/>
          <w:lang w:val="sr-Cyrl-CS"/>
        </w:rPr>
        <w:t xml:space="preserve"> и може садржати сљедеће ознаке: Н (није задовољено); Д (дјелимично задовољено); П (потпуно задовољено) и НП (није примјенљиво)</w:t>
      </w:r>
      <w:r>
        <w:rPr>
          <w:sz w:val="20"/>
          <w:szCs w:val="20"/>
          <w:lang w:val="sr-Latn-BA"/>
        </w:rPr>
        <w:t>.</w:t>
      </w:r>
    </w:p>
    <w:p w:rsidR="00AD47F1" w:rsidRPr="00A84A08" w:rsidRDefault="00AD47F1" w:rsidP="00FB067F">
      <w:pPr>
        <w:ind w:left="851" w:hanging="851"/>
        <w:rPr>
          <w:sz w:val="20"/>
          <w:szCs w:val="20"/>
          <w:lang w:val="sr-Latn-BA"/>
        </w:rPr>
      </w:pPr>
      <w:r w:rsidRPr="00A53853">
        <w:rPr>
          <w:sz w:val="20"/>
          <w:szCs w:val="20"/>
          <w:lang w:val="sr-Cyrl-CS"/>
        </w:rPr>
        <w:t>Колона 6: Ова колона може да садржи коментаре који објашњавају неке детаље у вези са задовољењем захтјева</w:t>
      </w:r>
      <w:r>
        <w:rPr>
          <w:sz w:val="20"/>
          <w:szCs w:val="20"/>
          <w:lang w:val="sr-Latn-BA"/>
        </w:rPr>
        <w:t>.</w:t>
      </w:r>
    </w:p>
    <w:p w:rsidR="00AD47F1" w:rsidRDefault="00AD47F1" w:rsidP="00FB067F">
      <w:pPr>
        <w:ind w:left="851" w:hanging="851"/>
        <w:rPr>
          <w:sz w:val="20"/>
          <w:szCs w:val="20"/>
          <w:lang w:val="sr-Cyrl-CS"/>
        </w:rPr>
      </w:pPr>
    </w:p>
    <w:p w:rsidR="00AD47F1" w:rsidRPr="00A53853" w:rsidRDefault="00AD47F1" w:rsidP="00FB067F">
      <w:pPr>
        <w:ind w:left="851" w:hanging="851"/>
        <w:rPr>
          <w:sz w:val="20"/>
          <w:szCs w:val="20"/>
          <w:lang w:val="sr-Cyrl-CS"/>
        </w:rPr>
      </w:pPr>
    </w:p>
    <w:p w:rsidR="00AD47F1" w:rsidRPr="00A53853" w:rsidRDefault="00AD47F1" w:rsidP="00FB067F">
      <w:pPr>
        <w:ind w:left="851" w:hanging="851"/>
        <w:rPr>
          <w:sz w:val="20"/>
          <w:szCs w:val="20"/>
          <w:lang w:val="sr-Cyrl-CS"/>
        </w:rPr>
      </w:pPr>
    </w:p>
    <w:p w:rsidR="00AD47F1" w:rsidRPr="00A53853" w:rsidRDefault="00AD47F1" w:rsidP="00FB067F">
      <w:pPr>
        <w:numPr>
          <w:ilvl w:val="0"/>
          <w:numId w:val="1"/>
        </w:numPr>
        <w:rPr>
          <w:b/>
          <w:bCs/>
          <w:lang w:val="sr-Cyrl-CS"/>
        </w:rPr>
      </w:pPr>
      <w:r w:rsidRPr="00A53853">
        <w:rPr>
          <w:b/>
          <w:bCs/>
          <w:lang w:val="sr-Cyrl-CS"/>
        </w:rPr>
        <w:t>СТАНДАРДИ:</w:t>
      </w:r>
    </w:p>
    <w:p w:rsidR="00AD47F1" w:rsidRPr="00FB067F" w:rsidRDefault="00AD47F1">
      <w:pPr>
        <w:rPr>
          <w:lang w:val="sr-Latn-CS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4"/>
        <w:gridCol w:w="4548"/>
        <w:gridCol w:w="784"/>
        <w:gridCol w:w="932"/>
        <w:gridCol w:w="720"/>
        <w:gridCol w:w="1530"/>
      </w:tblGrid>
      <w:tr w:rsidR="00235CEA" w:rsidTr="00235CEA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Pr="002808D6" w:rsidRDefault="00235CEA" w:rsidP="00235CEA">
            <w:pPr>
              <w:pStyle w:val="a2"/>
              <w:snapToGrid w:val="0"/>
              <w:jc w:val="center"/>
            </w:pPr>
            <w:r w:rsidRPr="00235CEA">
              <w:rPr>
                <w:b/>
                <w:bCs/>
                <w:sz w:val="20"/>
                <w:szCs w:val="20"/>
                <w:lang w:val="sr-Latn-CS"/>
              </w:rPr>
              <w:t>Ознака стандарда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lang w:val="sr-Latn-CS"/>
              </w:rPr>
            </w:pPr>
            <w:r w:rsidRPr="00A53853">
              <w:rPr>
                <w:b/>
                <w:bCs/>
                <w:lang w:val="sr-Cyrl-CS"/>
              </w:rPr>
              <w:t>СТАНДАРДИ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proofErr w:type="spellStart"/>
            <w:r>
              <w:rPr>
                <w:b/>
                <w:bCs/>
                <w:sz w:val="20"/>
                <w:szCs w:val="20"/>
                <w:lang w:val="sr-Latn-CS"/>
              </w:rPr>
              <w:t>Сертификација</w:t>
            </w:r>
            <w:proofErr w:type="spellEnd"/>
            <w:r>
              <w:rPr>
                <w:b/>
                <w:bCs/>
                <w:sz w:val="20"/>
                <w:szCs w:val="20"/>
                <w:lang w:val="sr-Latn-CS"/>
              </w:rPr>
              <w:t>/акредитација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 xml:space="preserve">Категорија установе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Степен задовољења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b/>
                <w:bCs/>
                <w:sz w:val="20"/>
                <w:szCs w:val="20"/>
                <w:lang w:val="sr-Latn-CS"/>
              </w:rPr>
            </w:pPr>
            <w:r>
              <w:rPr>
                <w:b/>
                <w:bCs/>
                <w:sz w:val="20"/>
                <w:szCs w:val="20"/>
                <w:lang w:val="sr-Latn-CS"/>
              </w:rPr>
              <w:t>Напомена</w:t>
            </w:r>
          </w:p>
        </w:tc>
      </w:tr>
      <w:tr w:rsidR="00235CEA" w:rsidTr="00E5030E">
        <w:trPr>
          <w:tblHeader/>
        </w:trPr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Pr="002808D6" w:rsidRDefault="00235CEA" w:rsidP="00235CEA">
            <w:pPr>
              <w:pStyle w:val="a2"/>
              <w:snapToGrid w:val="0"/>
              <w:spacing w:line="170" w:lineRule="exact"/>
              <w:jc w:val="center"/>
            </w:pPr>
            <w:r w:rsidRPr="00235CEA">
              <w:rPr>
                <w:sz w:val="18"/>
                <w:szCs w:val="18"/>
                <w:lang w:val="sr-Latn-CS"/>
              </w:rPr>
              <w:t>1</w:t>
            </w:r>
          </w:p>
        </w:tc>
        <w:tc>
          <w:tcPr>
            <w:tcW w:w="454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235CEA" w:rsidRDefault="00235CEA">
            <w:pPr>
              <w:pStyle w:val="a2"/>
              <w:snapToGrid w:val="0"/>
              <w:spacing w:line="170" w:lineRule="exact"/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sz w:val="18"/>
                <w:szCs w:val="18"/>
                <w:lang w:val="sr-Latn-CS"/>
              </w:rPr>
              <w:t>6</w:t>
            </w:r>
          </w:p>
        </w:tc>
      </w:tr>
      <w:tr w:rsidR="00235CEA" w:rsidTr="00E5030E">
        <w:trPr>
          <w:trHeight w:val="302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/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 w:rsidP="00E87CEF">
            <w:pPr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>а) Анестезија - опште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 w:rsidP="00E87CEF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Начелник анестезије је специјалиста </w:t>
            </w:r>
            <w:proofErr w:type="spellStart"/>
            <w:r>
              <w:rPr>
                <w:b/>
                <w:bCs/>
                <w:lang w:val="sr-Latn-CS"/>
              </w:rPr>
              <w:t>анестезиологије</w:t>
            </w:r>
            <w:proofErr w:type="spellEnd"/>
            <w:r>
              <w:rPr>
                <w:b/>
                <w:bCs/>
                <w:lang w:val="sr-Latn-CS"/>
              </w:rPr>
              <w:t xml:space="preserve"> са одговарајућим радним искуством.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Све анестезије </w:t>
            </w:r>
            <w:proofErr w:type="spellStart"/>
            <w:r>
              <w:rPr>
                <w:b/>
                <w:bCs/>
                <w:lang w:val="sr-Latn-CS"/>
              </w:rPr>
              <w:t>апликује</w:t>
            </w:r>
            <w:proofErr w:type="spellEnd"/>
            <w:r>
              <w:rPr>
                <w:b/>
                <w:bCs/>
                <w:lang w:val="sr-Latn-CS"/>
              </w:rPr>
              <w:t xml:space="preserve"> квалификовани </w:t>
            </w:r>
            <w:proofErr w:type="spellStart"/>
            <w:r>
              <w:rPr>
                <w:b/>
                <w:bCs/>
                <w:lang w:val="sr-Latn-CS"/>
              </w:rPr>
              <w:t>анестезиолог</w:t>
            </w:r>
            <w:proofErr w:type="spellEnd"/>
            <w:r>
              <w:rPr>
                <w:b/>
                <w:bCs/>
                <w:lang w:val="sr-Latn-CS"/>
              </w:rPr>
              <w:t xml:space="preserve"> – специјалиста </w:t>
            </w:r>
            <w:proofErr w:type="spellStart"/>
            <w:r>
              <w:rPr>
                <w:b/>
                <w:bCs/>
                <w:lang w:val="sr-Latn-CS"/>
              </w:rPr>
              <w:t>анестези</w:t>
            </w:r>
            <w:proofErr w:type="spellEnd"/>
            <w:r>
              <w:rPr>
                <w:b/>
                <w:bCs/>
                <w:lang w:val="sr-Latn-CS"/>
              </w:rPr>
              <w:t>-</w:t>
            </w:r>
            <w:proofErr w:type="spellStart"/>
            <w:r>
              <w:rPr>
                <w:b/>
                <w:bCs/>
                <w:lang w:val="sr-Latn-CS"/>
              </w:rPr>
              <w:t>олог</w:t>
            </w:r>
            <w:proofErr w:type="spellEnd"/>
            <w:r>
              <w:rPr>
                <w:b/>
                <w:bCs/>
                <w:lang w:val="sr-Latn-CS"/>
              </w:rPr>
              <w:t xml:space="preserve">, или старији </w:t>
            </w:r>
            <w:proofErr w:type="spellStart"/>
            <w:r>
              <w:rPr>
                <w:b/>
                <w:bCs/>
                <w:lang w:val="sr-Latn-CS"/>
              </w:rPr>
              <w:t>специјализант</w:t>
            </w:r>
            <w:proofErr w:type="spellEnd"/>
            <w:r>
              <w:rPr>
                <w:b/>
                <w:bCs/>
                <w:lang w:val="sr-Latn-CS"/>
              </w:rPr>
              <w:t xml:space="preserve"> под надзором искусног специјалисте.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2.2.3 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Сви запослени на анестезији укључени су у континуирану едукацију и обуку уз рад, која обухвата најмање сљедеће: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Посматрање и препознавање поремећаја ритма рада срца,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Очитавање </w:t>
            </w:r>
            <w:proofErr w:type="spellStart"/>
            <w:r>
              <w:rPr>
                <w:sz w:val="20"/>
                <w:szCs w:val="20"/>
                <w:lang w:val="sr-Latn-CS"/>
              </w:rPr>
              <w:t>оксиметра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Давање крви и крвних продуката,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Одржавање живота одраслих,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Методе за спречавање инфекција,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2.2.3.6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Дозирање и коришћење наркотика,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2.2.3.7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Препознавање критичних налаза с оцјене општег стања пацијента, оцјене преко опреме за мониторинг, или дијагностичких тестова и погодних интервенција,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2.2.3.8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Одржавање и обезбјеђење готовости опреме за хитне интервенције и резерве лијекова.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–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Постоје политике и процедуре за правилно складиштење средстава за анестезију и руковање њима.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Опрема за анестезију и опрема у операционој сали одговара стању и потребама пацијената, врсти услуга, доброј професионалној пракси и прописаним нормативима.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>
            <w:pPr>
              <w:jc w:val="right"/>
            </w:pPr>
            <w:r w:rsidRPr="00235CEA">
              <w:rPr>
                <w:sz w:val="20"/>
                <w:szCs w:val="20"/>
              </w:rPr>
              <w:t>2.2.5.1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Начелник </w:t>
            </w:r>
            <w:proofErr w:type="spellStart"/>
            <w:r>
              <w:rPr>
                <w:sz w:val="20"/>
                <w:szCs w:val="20"/>
                <w:lang w:val="sr-Latn-CS"/>
              </w:rPr>
              <w:t>анестезиологије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препоручује опрему за анестезију.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2.2.6.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компликоване/тешке </w:t>
            </w:r>
            <w:proofErr w:type="spellStart"/>
            <w:r>
              <w:rPr>
                <w:b/>
                <w:bCs/>
                <w:lang w:val="sr-Latn-CS"/>
              </w:rPr>
              <w:t>интубације</w:t>
            </w:r>
            <w:proofErr w:type="spellEnd"/>
            <w:r>
              <w:rPr>
                <w:b/>
                <w:bCs/>
                <w:lang w:val="sr-Latn-CS"/>
              </w:rPr>
              <w:t xml:space="preserve"> на располагању је </w:t>
            </w:r>
            <w:proofErr w:type="spellStart"/>
            <w:r>
              <w:rPr>
                <w:b/>
                <w:bCs/>
                <w:lang w:val="sr-Latn-CS"/>
              </w:rPr>
              <w:t>ларингеална</w:t>
            </w:r>
            <w:proofErr w:type="spellEnd"/>
            <w:r>
              <w:rPr>
                <w:b/>
                <w:bCs/>
                <w:lang w:val="sr-Latn-CS"/>
              </w:rPr>
              <w:t xml:space="preserve"> маска.    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A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2.2.7.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Све машине за анестезију редовно се провјеравају и одржавају, о чему се воде записи.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hd w:val="clear" w:color="auto" w:fill="FFFF0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2.2.7.1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Постоји план превентивног одржавања  и провјере исправности  машина за анестезију.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2.2.7.2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Постоје и примјењују се документовани поступци за превентивно одржавање и провјеру исправности машина за анестезију. Поступцима се утврђују надлежности, одговорности и </w:t>
            </w:r>
            <w:proofErr w:type="spellStart"/>
            <w:r>
              <w:rPr>
                <w:sz w:val="20"/>
                <w:szCs w:val="20"/>
                <w:lang w:val="sr-Latn-CS"/>
              </w:rPr>
              <w:t>редосљед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рада.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2.2.8.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Анестезија примјењује програм за спречавање болничких инфекција и надзор над њима. Програм обухвата: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2.2.8.1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Именовање координатора за спречавање болничких инфекција и надзор над њима,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shd w:val="clear" w:color="auto" w:fill="FFFF0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Обезбјеђење стерилности, гдје је она прописана,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простора (опис која се подручја чисте, распоред чишћења и поступак чишћења појединих површина),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  <w:bookmarkStart w:id="1" w:name="__DdeLink__20_3418721281"/>
            <w:bookmarkEnd w:id="1"/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Поступке с вешом,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2.2.8.5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Надзор над употребом заштитне опреме,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2.2.8.6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Хигијену руку,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2.2.8.7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Надзор над </w:t>
            </w:r>
            <w:proofErr w:type="spellStart"/>
            <w:r>
              <w:rPr>
                <w:sz w:val="20"/>
                <w:szCs w:val="20"/>
                <w:lang w:val="sr-Latn-CS"/>
              </w:rPr>
              <w:t>стерилношћу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тубуса</w:t>
            </w:r>
            <w:proofErr w:type="spellEnd"/>
            <w:r>
              <w:rPr>
                <w:sz w:val="20"/>
                <w:szCs w:val="20"/>
                <w:lang w:val="sr-Latn-CS"/>
              </w:rPr>
              <w:t>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1-4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2.2.9.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 w:rsidP="00FB067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Пре-</w:t>
            </w:r>
            <w:proofErr w:type="spellStart"/>
            <w:r>
              <w:rPr>
                <w:b/>
                <w:bCs/>
                <w:lang w:val="sr-Latn-CS"/>
              </w:rPr>
              <w:t>анестезиолошка</w:t>
            </w:r>
            <w:proofErr w:type="spellEnd"/>
            <w:r>
              <w:rPr>
                <w:b/>
                <w:bCs/>
                <w:lang w:val="sr-Latn-CS"/>
              </w:rPr>
              <w:t xml:space="preserve"> процјена обавља се најраније 15 дана прије дана операције, а најкасније 24 </w:t>
            </w:r>
            <w:r>
              <w:rPr>
                <w:b/>
                <w:bCs/>
                <w:lang w:val="sr-Cyrl-CS"/>
              </w:rPr>
              <w:t>сата</w:t>
            </w:r>
            <w:r>
              <w:rPr>
                <w:b/>
                <w:bCs/>
                <w:lang w:val="sr-Latn-CS"/>
              </w:rPr>
              <w:t xml:space="preserve"> прије операције. Процјену обавља </w:t>
            </w:r>
            <w:proofErr w:type="spellStart"/>
            <w:r>
              <w:rPr>
                <w:b/>
                <w:bCs/>
                <w:lang w:val="sr-Latn-CS"/>
              </w:rPr>
              <w:t>анестезиолог</w:t>
            </w:r>
            <w:proofErr w:type="spellEnd"/>
            <w:r>
              <w:rPr>
                <w:b/>
                <w:bCs/>
                <w:lang w:val="sr-Latn-CS"/>
              </w:rPr>
              <w:t xml:space="preserve"> који заједно с хирургом одлучује која ће се врста анестезије користити.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 </w:t>
            </w: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2.2.10.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Пре-</w:t>
            </w:r>
            <w:proofErr w:type="spellStart"/>
            <w:r>
              <w:rPr>
                <w:b/>
                <w:bCs/>
                <w:lang w:val="sr-Latn-CS"/>
              </w:rPr>
              <w:t>анестезиолошка</w:t>
            </w:r>
            <w:proofErr w:type="spellEnd"/>
            <w:r>
              <w:rPr>
                <w:b/>
                <w:bCs/>
                <w:lang w:val="sr-Latn-CS"/>
              </w:rPr>
              <w:t xml:space="preserve"> процјена документује се записима који садрже: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right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Категорију </w:t>
            </w:r>
            <w:proofErr w:type="spellStart"/>
            <w:r>
              <w:rPr>
                <w:sz w:val="20"/>
                <w:szCs w:val="20"/>
                <w:lang w:val="sr-Latn-CS"/>
              </w:rPr>
              <w:t>анестезиолошког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ризика, зависно од стања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right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Потребе за консултацијама с другим </w:t>
            </w:r>
            <w:proofErr w:type="spellStart"/>
            <w:r>
              <w:rPr>
                <w:sz w:val="20"/>
                <w:szCs w:val="20"/>
                <w:lang w:val="sr-Latn-CS"/>
              </w:rPr>
              <w:t>специјалистичким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службама (кардиологија, хематологија итд.),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right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rPr>
          <w:trHeight w:val="369"/>
        </w:trPr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FB067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План анестезије, 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right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2.2.10.4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Могуће компликације и ризике, о којима се </w:t>
            </w:r>
            <w:proofErr w:type="spellStart"/>
            <w:r>
              <w:rPr>
                <w:sz w:val="20"/>
                <w:szCs w:val="20"/>
                <w:lang w:val="sr-Latn-CS"/>
              </w:rPr>
              <w:t>обавјештава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пацијент и/или његова родбина ради добијања писаног пристанка.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right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2.2.11.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Један </w:t>
            </w:r>
            <w:proofErr w:type="spellStart"/>
            <w:r>
              <w:rPr>
                <w:b/>
                <w:bCs/>
                <w:lang w:val="sr-Latn-CS"/>
              </w:rPr>
              <w:t>анестезиолог</w:t>
            </w:r>
            <w:proofErr w:type="spellEnd"/>
            <w:r>
              <w:rPr>
                <w:b/>
                <w:bCs/>
                <w:lang w:val="sr-Latn-CS"/>
              </w:rPr>
              <w:t xml:space="preserve"> физички је присутан у операционој сали за све вријеме трајања операције.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2.2.12.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медицинским записима о анестезији документује се најмање сљедеће: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 w:rsidP="00FB067F">
            <w:pPr>
              <w:pStyle w:val="BodyText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2.2.12.1 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Средство за анестезију,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2.2.12.2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Дозе свих препарата и средстава коришћених током анестезије,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Поступци за аплицирање анестезије,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2.2.12.4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Количина дате крви и вријеме када је дата (ако се користи крв),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 w:rsidP="00FB067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Крв се даје у скла</w:t>
            </w:r>
            <w:r>
              <w:rPr>
                <w:sz w:val="20"/>
                <w:szCs w:val="20"/>
                <w:lang w:val="sr-Latn-CS"/>
              </w:rPr>
              <w:softHyphen/>
              <w:t>ду с полити</w:t>
            </w:r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 xml:space="preserve">ком установе која се односи на </w:t>
            </w:r>
            <w:proofErr w:type="spellStart"/>
            <w:r>
              <w:rPr>
                <w:sz w:val="20"/>
                <w:szCs w:val="20"/>
                <w:lang w:val="sr-Latn-CS"/>
              </w:rPr>
              <w:t>администра</w:t>
            </w:r>
            <w:proofErr w:type="spellEnd"/>
            <w:r>
              <w:rPr>
                <w:sz w:val="20"/>
                <w:szCs w:val="20"/>
                <w:lang w:val="sr-Cyrl-CS"/>
              </w:rPr>
              <w:t>-</w:t>
            </w:r>
            <w:proofErr w:type="spellStart"/>
            <w:r>
              <w:rPr>
                <w:sz w:val="20"/>
                <w:szCs w:val="20"/>
                <w:lang w:val="sr-Latn-CS"/>
              </w:rPr>
              <w:t>цију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крви и крвних </w:t>
            </w:r>
            <w:proofErr w:type="spellStart"/>
            <w:r>
              <w:rPr>
                <w:sz w:val="20"/>
                <w:szCs w:val="20"/>
                <w:lang w:val="sr-Latn-CS"/>
              </w:rPr>
              <w:t>продука</w:t>
            </w:r>
            <w:proofErr w:type="spellEnd"/>
            <w:r>
              <w:rPr>
                <w:sz w:val="20"/>
                <w:szCs w:val="20"/>
                <w:lang w:val="sr-Cyrl-CS"/>
              </w:rPr>
              <w:t>-</w:t>
            </w:r>
            <w:r>
              <w:rPr>
                <w:sz w:val="20"/>
                <w:szCs w:val="20"/>
                <w:lang w:val="sr-Latn-CS"/>
              </w:rPr>
              <w:t>та, што обухвата и  пи</w:t>
            </w:r>
            <w:r>
              <w:rPr>
                <w:sz w:val="20"/>
                <w:szCs w:val="20"/>
                <w:lang w:val="sr-Latn-CS"/>
              </w:rPr>
              <w:softHyphen/>
              <w:t xml:space="preserve">смену сагласност пацијента да </w:t>
            </w:r>
            <w:r>
              <w:rPr>
                <w:sz w:val="20"/>
                <w:szCs w:val="20"/>
                <w:lang w:val="sr-Latn-CS"/>
              </w:rPr>
              <w:lastRenderedPageBreak/>
              <w:t>прими крв. Овај приста</w:t>
            </w:r>
            <w:r>
              <w:rPr>
                <w:sz w:val="20"/>
                <w:szCs w:val="20"/>
                <w:lang w:val="sr-Latn-CS"/>
              </w:rPr>
              <w:softHyphen/>
              <w:t xml:space="preserve">нак пацијента дио је пристанка на оперативни захват, или </w:t>
            </w:r>
            <w:proofErr w:type="spellStart"/>
            <w:r>
              <w:rPr>
                <w:sz w:val="20"/>
                <w:szCs w:val="20"/>
                <w:lang w:val="sr-Latn-CS"/>
              </w:rPr>
              <w:t>инвазивну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процедуру., </w:t>
            </w: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 xml:space="preserve"> 2.2.12.5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Било које испитивање обављено за вријеме операције, нпр. мјерење шећера у крви, гасови у крви,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 2.2.12.6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Количина и врста течности, датих интравенозно, те количина излученог урина </w:t>
            </w:r>
            <w:proofErr w:type="spellStart"/>
            <w:r>
              <w:rPr>
                <w:sz w:val="20"/>
                <w:szCs w:val="20"/>
                <w:lang w:val="sr-Latn-CS"/>
              </w:rPr>
              <w:t>интраопе</w:t>
            </w:r>
            <w:proofErr w:type="spellEnd"/>
            <w:r>
              <w:rPr>
                <w:sz w:val="20"/>
                <w:szCs w:val="20"/>
                <w:lang w:val="sr-Cyrl-CS"/>
              </w:rPr>
              <w:t>р</w:t>
            </w:r>
            <w:proofErr w:type="spellStart"/>
            <w:r>
              <w:rPr>
                <w:sz w:val="20"/>
                <w:szCs w:val="20"/>
                <w:lang w:val="sr-Latn-CS"/>
              </w:rPr>
              <w:t>ативно</w:t>
            </w:r>
            <w:proofErr w:type="spellEnd"/>
            <w:r>
              <w:rPr>
                <w:sz w:val="20"/>
                <w:szCs w:val="20"/>
                <w:lang w:val="sr-Latn-CS"/>
              </w:rPr>
              <w:t>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2.2.12.7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 w:rsidP="00E87CEF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Статус пацијента на крају анестезије,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 w:rsidP="00E87CEF">
            <w:pPr>
              <w:pStyle w:val="BodyText"/>
              <w:snapToGrid w:val="0"/>
              <w:spacing w:after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2.2.12.8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Било који неуобичајени догађај  за вријеме операције.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before="100" w:after="10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before="100" w:after="10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2.2.13.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За вријеме операције стање пацијента прати се континуирано и у записима о анестезији документује се сљедеће: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Витални знаци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Ниво свијести,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2.2.13.3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Засићење кисеоником и боја коже,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rPr>
          <w:trHeight w:val="27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2.2.13.4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ЕКГ.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i/>
                <w:iCs/>
                <w:sz w:val="20"/>
                <w:szCs w:val="20"/>
                <w:lang w:val="sr-Latn-CS"/>
              </w:rPr>
            </w:pPr>
            <w:r>
              <w:rPr>
                <w:i/>
                <w:iCs/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/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>б) Соба за буђење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2.2.14.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Квалификовани </w:t>
            </w:r>
            <w:proofErr w:type="spellStart"/>
            <w:r>
              <w:rPr>
                <w:b/>
                <w:bCs/>
                <w:lang w:val="sr-Latn-CS"/>
              </w:rPr>
              <w:t>анестезиолог</w:t>
            </w:r>
            <w:proofErr w:type="spellEnd"/>
            <w:r>
              <w:rPr>
                <w:b/>
                <w:bCs/>
                <w:lang w:val="sr-Latn-CS"/>
              </w:rPr>
              <w:t xml:space="preserve"> све вријеме управља собом за буђење.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2.2.15.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Начелник </w:t>
            </w:r>
            <w:proofErr w:type="spellStart"/>
            <w:r>
              <w:rPr>
                <w:b/>
                <w:bCs/>
                <w:lang w:val="sr-Latn-CS"/>
              </w:rPr>
              <w:t>анестезиологије</w:t>
            </w:r>
            <w:proofErr w:type="spellEnd"/>
            <w:r>
              <w:rPr>
                <w:b/>
                <w:bCs/>
                <w:lang w:val="sr-Latn-CS"/>
              </w:rPr>
              <w:t xml:space="preserve"> и главна сестра документују неопходне политике и поступке који се односе на </w:t>
            </w:r>
            <w:proofErr w:type="spellStart"/>
            <w:r>
              <w:rPr>
                <w:b/>
                <w:bCs/>
                <w:lang w:val="sr-Latn-CS"/>
              </w:rPr>
              <w:t>његу</w:t>
            </w:r>
            <w:proofErr w:type="spellEnd"/>
            <w:r>
              <w:rPr>
                <w:b/>
                <w:bCs/>
                <w:lang w:val="sr-Latn-CS"/>
              </w:rPr>
              <w:t xml:space="preserve"> пацијената у соби за буђење. 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2.2.16.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докази да је све особље, које ради у соби за буђење, оспособљено за активности које се ту одвијају.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2.2.17.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Опрема у соби за буђење одговара стању и потребама пацијената, укљученим ризицима, доброј професионалној пракси и прописаним нормативима.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2.2.17.1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 w:rsidP="00E5030E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Опрема у соби за буђење омогућује да се брзо тражи помоћ без буђења пацијента, на примјер путем аларма или </w:t>
            </w:r>
            <w:proofErr w:type="spellStart"/>
            <w:r>
              <w:rPr>
                <w:sz w:val="20"/>
                <w:szCs w:val="20"/>
                <w:lang w:val="sr-Latn-CS"/>
              </w:rPr>
              <w:t>пејџинг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система.</w:t>
            </w:r>
            <w:r>
              <w:rPr>
                <w:b/>
                <w:bCs/>
                <w:lang w:val="sr-Latn-CS"/>
              </w:rPr>
              <w:t xml:space="preserve">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spacing w:before="100" w:after="10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2.2.17.2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Особље које ради у соби за буђење оспособљено је за коришћење ове опреме.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spacing w:before="100" w:after="100"/>
              <w:jc w:val="right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  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2.2.18.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У соби за буђење пацијенти с инфекцијом/инфективним стањем одвојени су од осталих пацијената.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spacing w:after="12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strike/>
                <w:sz w:val="20"/>
                <w:szCs w:val="20"/>
                <w:lang w:val="sr-Latn-CS"/>
              </w:rPr>
            </w:pPr>
          </w:p>
        </w:tc>
      </w:tr>
      <w:tr w:rsidR="00235CEA" w:rsidTr="00E5030E">
        <w:trPr>
          <w:trHeight w:val="1057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2.2.19.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 w:rsidP="00E87CEF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Физиолошки и </w:t>
            </w:r>
            <w:proofErr w:type="spellStart"/>
            <w:r>
              <w:rPr>
                <w:b/>
                <w:bCs/>
                <w:lang w:val="sr-Latn-CS"/>
              </w:rPr>
              <w:t>постанестетички</w:t>
            </w:r>
            <w:proofErr w:type="spellEnd"/>
            <w:r>
              <w:rPr>
                <w:b/>
                <w:bCs/>
                <w:lang w:val="sr-Latn-CS"/>
              </w:rPr>
              <w:t xml:space="preserve"> статус сваког пацијента непрекидно се прати након операције и у медицинску документацију записује се: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 w:rsidP="00E87CEF">
            <w:pPr>
              <w:pStyle w:val="BodyText"/>
              <w:snapToGrid w:val="0"/>
              <w:spacing w:after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 w:rsidP="00E87CEF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Вријеме пријема и вријеме отпуста из собе за буђење,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Витални знаци пацијента, укључујући интензитет бола према утврђеној скали,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Ниво свијести пацијента,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Засићење кисеоником,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ЕКГ,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2.2.19.6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Било који неуобичајени догађај.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2.2.20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Постоје документовани критеријуми за отпуст пацијената из собе за буђење и све особље које ту ради у стању је да их наброји.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Квалификована особа (надлежни </w:t>
            </w:r>
            <w:proofErr w:type="spellStart"/>
            <w:r>
              <w:rPr>
                <w:b/>
                <w:bCs/>
                <w:lang w:val="sr-Latn-CS"/>
              </w:rPr>
              <w:t>анестезиолог</w:t>
            </w:r>
            <w:proofErr w:type="spellEnd"/>
            <w:r>
              <w:rPr>
                <w:b/>
                <w:bCs/>
                <w:lang w:val="sr-Latn-CS"/>
              </w:rPr>
              <w:t xml:space="preserve">) отпушта пацијента из собе за буђење примјењујући утврђене критеријуме.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i/>
                <w:iCs/>
                <w:lang w:val="sr-Latn-CS"/>
              </w:rPr>
            </w:pPr>
            <w:r>
              <w:rPr>
                <w:b/>
                <w:bCs/>
                <w:i/>
                <w:iCs/>
                <w:lang w:val="sr-Latn-CS"/>
              </w:rPr>
              <w:t xml:space="preserve">ц) Принципи </w:t>
            </w:r>
            <w:proofErr w:type="spellStart"/>
            <w:r>
              <w:rPr>
                <w:b/>
                <w:bCs/>
                <w:i/>
                <w:iCs/>
                <w:lang w:val="sr-Latn-CS"/>
              </w:rPr>
              <w:t>седирања</w:t>
            </w:r>
            <w:proofErr w:type="spellEnd"/>
            <w:r>
              <w:rPr>
                <w:b/>
                <w:bCs/>
                <w:i/>
                <w:iCs/>
                <w:lang w:val="sr-Latn-CS"/>
              </w:rPr>
              <w:t xml:space="preserve"> и локалне анестезије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Дозирана </w:t>
            </w:r>
            <w:proofErr w:type="spellStart"/>
            <w:r>
              <w:rPr>
                <w:b/>
                <w:bCs/>
                <w:lang w:val="sr-Latn-CS"/>
              </w:rPr>
              <w:t>седација</w:t>
            </w:r>
            <w:proofErr w:type="spellEnd"/>
            <w:r>
              <w:rPr>
                <w:b/>
                <w:bCs/>
                <w:lang w:val="sr-Latn-CS"/>
              </w:rPr>
              <w:t xml:space="preserve"> спроводи се у складу с политикама и смјерницама које је одобрио начелник анестезије, главна сестра и одговарајући начелници других служби.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На примјер, ако је пацијент немиран и угрожава своје здравље.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2.2.23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Дозирана </w:t>
            </w:r>
            <w:proofErr w:type="spellStart"/>
            <w:r>
              <w:rPr>
                <w:b/>
                <w:bCs/>
                <w:lang w:val="sr-Latn-CS"/>
              </w:rPr>
              <w:t>седација</w:t>
            </w:r>
            <w:proofErr w:type="spellEnd"/>
            <w:r>
              <w:rPr>
                <w:b/>
                <w:bCs/>
                <w:lang w:val="sr-Latn-CS"/>
              </w:rPr>
              <w:t xml:space="preserve"> спроводи се само ако је на располагању опрема која </w:t>
            </w:r>
            <w:proofErr w:type="spellStart"/>
            <w:r>
              <w:rPr>
                <w:b/>
                <w:bCs/>
                <w:lang w:val="sr-Latn-CS"/>
              </w:rPr>
              <w:t>обезбјеђује</w:t>
            </w:r>
            <w:proofErr w:type="spellEnd"/>
            <w:r>
              <w:rPr>
                <w:b/>
                <w:bCs/>
                <w:lang w:val="sr-Latn-CS"/>
              </w:rPr>
              <w:t xml:space="preserve"> безбједну </w:t>
            </w:r>
            <w:proofErr w:type="spellStart"/>
            <w:r>
              <w:rPr>
                <w:b/>
                <w:bCs/>
                <w:lang w:val="sr-Latn-CS"/>
              </w:rPr>
              <w:t>његу</w:t>
            </w:r>
            <w:proofErr w:type="spellEnd"/>
            <w:r>
              <w:rPr>
                <w:b/>
                <w:bCs/>
                <w:lang w:val="sr-Latn-CS"/>
              </w:rPr>
              <w:t xml:space="preserve"> и то: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808D6" w:rsidRDefault="00235CEA" w:rsidP="00235CEA">
            <w:pPr>
              <w:jc w:val="right"/>
            </w:pPr>
            <w:r w:rsidRPr="00235CEA">
              <w:rPr>
                <w:sz w:val="20"/>
                <w:szCs w:val="20"/>
              </w:rPr>
              <w:t>2.2.23.1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Централно усисавање  или </w:t>
            </w:r>
            <w:proofErr w:type="spellStart"/>
            <w:r>
              <w:rPr>
                <w:sz w:val="20"/>
                <w:szCs w:val="20"/>
                <w:lang w:val="sr-Latn-CS"/>
              </w:rPr>
              <w:t>сукциона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пумпа,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1-4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lastRenderedPageBreak/>
              <w:t>2.2.23.2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Кисеоник,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2.2.23.3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proofErr w:type="spellStart"/>
            <w:r>
              <w:rPr>
                <w:sz w:val="20"/>
                <w:szCs w:val="20"/>
                <w:lang w:val="sr-Latn-CS"/>
              </w:rPr>
              <w:t>Пулсна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sr-Latn-CS"/>
              </w:rPr>
              <w:t>оксиметрија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2.2.23.4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Аутоматско праћење крвног притиска или поступак за мјерење тог притиска,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2.2.23.5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ЕКГ Монитор.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sz w:val="20"/>
                <w:szCs w:val="20"/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2.2.24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Када се пацијенту даје локална анестезија/</w:t>
            </w:r>
            <w:proofErr w:type="spellStart"/>
            <w:r>
              <w:rPr>
                <w:b/>
                <w:bCs/>
                <w:lang w:val="sr-Latn-CS"/>
              </w:rPr>
              <w:t>аналгезија</w:t>
            </w:r>
            <w:proofErr w:type="spellEnd"/>
            <w:r>
              <w:rPr>
                <w:b/>
                <w:bCs/>
                <w:lang w:val="sr-Latn-CS"/>
              </w:rPr>
              <w:t xml:space="preserve">, на располагању су колица за хитне случајеве опремљена  </w:t>
            </w:r>
            <w:proofErr w:type="spellStart"/>
            <w:r>
              <w:rPr>
                <w:b/>
                <w:bCs/>
                <w:lang w:val="sr-Latn-CS"/>
              </w:rPr>
              <w:t>дефибрилатором</w:t>
            </w:r>
            <w:proofErr w:type="spellEnd"/>
            <w:r>
              <w:rPr>
                <w:b/>
                <w:bCs/>
                <w:lang w:val="sr-Latn-CS"/>
              </w:rPr>
              <w:t xml:space="preserve">, лијековима, прикључцима за интравенозне апликације и опремом за </w:t>
            </w:r>
            <w:proofErr w:type="spellStart"/>
            <w:r>
              <w:rPr>
                <w:b/>
                <w:bCs/>
                <w:lang w:val="sr-Latn-CS"/>
              </w:rPr>
              <w:t>интубацију</w:t>
            </w:r>
            <w:proofErr w:type="spellEnd"/>
            <w:r>
              <w:rPr>
                <w:b/>
                <w:bCs/>
                <w:lang w:val="sr-Latn-CS"/>
              </w:rPr>
              <w:t xml:space="preserve">. Опрема на колицима у складу је са старошћу пацијента.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2.2.25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Када се даје локална анестезија, на располагању су писане смјернице за давање лијекова који се користе за локалну анестезију. Смјернице описују пут за апликацију и дозу која се даје појединим старосним групама.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>2.2.26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 xml:space="preserve">Особље, које учествује у </w:t>
            </w:r>
            <w:proofErr w:type="spellStart"/>
            <w:r>
              <w:rPr>
                <w:b/>
                <w:bCs/>
                <w:lang w:val="sr-Latn-CS"/>
              </w:rPr>
              <w:t>њези</w:t>
            </w:r>
            <w:proofErr w:type="spellEnd"/>
            <w:r>
              <w:rPr>
                <w:b/>
                <w:bCs/>
                <w:lang w:val="sr-Latn-CS"/>
              </w:rPr>
              <w:t xml:space="preserve"> пацијената којима се даје локална анестезија, обучено је за одржавање живота одраслих и дјеце и посједује документоване доказе о завршеној специфичној обуци.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А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Докази укључују цертификате, потврде, лиценце или свједочанства о провјери знања,</w:t>
            </w: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rPr>
                <w:b/>
              </w:rPr>
            </w:pPr>
            <w:r w:rsidRPr="00235CEA">
              <w:rPr>
                <w:b/>
              </w:rPr>
              <w:t xml:space="preserve">2.2.27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Припрема за давање локалне анестезије укључује сљедеће: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i/>
                <w:iCs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>2.2.27.1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Провјеру расположивости колица за хитне случајеве с </w:t>
            </w:r>
            <w:proofErr w:type="spellStart"/>
            <w:r>
              <w:rPr>
                <w:sz w:val="20"/>
                <w:szCs w:val="20"/>
                <w:lang w:val="sr-Latn-CS"/>
              </w:rPr>
              <w:t>дефибрилатором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лијековима,  прикључцима за интравенозне апликације и опремом за </w:t>
            </w:r>
            <w:proofErr w:type="spellStart"/>
            <w:r>
              <w:rPr>
                <w:sz w:val="20"/>
                <w:szCs w:val="20"/>
                <w:lang w:val="sr-Latn-CS"/>
              </w:rPr>
              <w:t>интубацију</w:t>
            </w:r>
            <w:proofErr w:type="spellEnd"/>
            <w:r>
              <w:rPr>
                <w:sz w:val="20"/>
                <w:szCs w:val="20"/>
                <w:lang w:val="sr-Latn-CS"/>
              </w:rPr>
              <w:t>, што све одговара старости пацијента,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2.2.27.2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Потврђивање да је добијен потписани информисани пристанак пацијента на спровођење локалне анестезије/</w:t>
            </w:r>
            <w:proofErr w:type="spellStart"/>
            <w:r>
              <w:rPr>
                <w:sz w:val="20"/>
                <w:szCs w:val="20"/>
                <w:lang w:val="sr-Latn-CS"/>
              </w:rPr>
              <w:t>аналгезије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Пристанак пацијента обезбеђује се у складу с документованим поступцима установе</w:t>
            </w:r>
          </w:p>
        </w:tc>
      </w:tr>
      <w:tr w:rsidR="00235CEA" w:rsidTr="00235CEA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235CEA" w:rsidRDefault="00235CEA" w:rsidP="00235CEA">
            <w:pPr>
              <w:jc w:val="right"/>
              <w:rPr>
                <w:sz w:val="20"/>
                <w:szCs w:val="20"/>
              </w:rPr>
            </w:pPr>
            <w:r w:rsidRPr="00235CEA">
              <w:rPr>
                <w:sz w:val="20"/>
                <w:szCs w:val="20"/>
              </w:rPr>
              <w:t xml:space="preserve">2.2.27.3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Убацивање интравенозног прикључка (</w:t>
            </w:r>
            <w:proofErr w:type="spellStart"/>
            <w:r>
              <w:rPr>
                <w:sz w:val="20"/>
                <w:szCs w:val="20"/>
                <w:lang w:val="sr-Latn-CS"/>
              </w:rPr>
              <w:t>брауниле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) и </w:t>
            </w:r>
            <w:proofErr w:type="spellStart"/>
            <w:r>
              <w:rPr>
                <w:sz w:val="20"/>
                <w:szCs w:val="20"/>
                <w:lang w:val="sr-Latn-CS"/>
              </w:rPr>
              <w:t>обезбјеђење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венског пута.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235CEA">
            <w:pPr>
              <w:rPr>
                <w:b/>
              </w:rPr>
            </w:pPr>
            <w:r w:rsidRPr="004A2105">
              <w:rPr>
                <w:b/>
              </w:rPr>
              <w:lastRenderedPageBreak/>
              <w:t>2.2.28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Прије почетка давања локалне анестезије/</w:t>
            </w:r>
            <w:proofErr w:type="spellStart"/>
            <w:r>
              <w:rPr>
                <w:b/>
                <w:bCs/>
                <w:lang w:val="sr-Latn-CS"/>
              </w:rPr>
              <w:t>аналгезије</w:t>
            </w:r>
            <w:proofErr w:type="spellEnd"/>
            <w:r>
              <w:rPr>
                <w:b/>
                <w:bCs/>
                <w:lang w:val="sr-Latn-CS"/>
              </w:rPr>
              <w:t>, хирург добија историју болести пацијента на увид и провјерава: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jc w:val="center"/>
              <w:rPr>
                <w:i/>
                <w:iCs/>
                <w:shd w:val="clear" w:color="auto" w:fill="FFFF0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rPr>
                <w:shd w:val="clear" w:color="auto" w:fill="FFFF0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>2.2.28.1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Историјат алергије на лијекове,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>2.2.28.2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Историјат било какве </w:t>
            </w:r>
            <w:proofErr w:type="spellStart"/>
            <w:r>
              <w:rPr>
                <w:sz w:val="20"/>
                <w:szCs w:val="20"/>
                <w:lang w:val="sr-Latn-CS"/>
              </w:rPr>
              <w:t>исхемијске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болести или оштећења органа, што може бити ризично за пацијента,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snapToGrid w:val="0"/>
              <w:jc w:val="right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2.2.28.3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Виталне знаке,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BodyText"/>
              <w:snapToGrid w:val="0"/>
              <w:spacing w:after="0"/>
              <w:jc w:val="center"/>
              <w:rPr>
                <w:i/>
                <w:iCs/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BodyText"/>
              <w:snapToGrid w:val="0"/>
              <w:spacing w:after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2.2.28.4 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Старост и тежину.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0"/>
              <w:snapToGrid w:val="0"/>
              <w:spacing w:before="0" w:after="0"/>
              <w:jc w:val="center"/>
              <w:rPr>
                <w:i w:val="0"/>
                <w:iCs w:val="0"/>
                <w:sz w:val="20"/>
                <w:szCs w:val="20"/>
                <w:lang w:val="sr-Latn-CS"/>
              </w:rPr>
            </w:pPr>
            <w:r>
              <w:rPr>
                <w:i w:val="0"/>
                <w:iCs w:val="0"/>
                <w:sz w:val="20"/>
                <w:szCs w:val="20"/>
                <w:lang w:val="sr-Latn-CS"/>
              </w:rPr>
              <w:t>1 - 4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0"/>
              <w:snapToGrid w:val="0"/>
              <w:spacing w:before="0" w:after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0"/>
              <w:snapToGrid w:val="0"/>
              <w:spacing w:before="0" w:after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235CEA">
            <w:pPr>
              <w:rPr>
                <w:b/>
              </w:rPr>
            </w:pPr>
            <w:r w:rsidRPr="004A2105">
              <w:rPr>
                <w:b/>
              </w:rPr>
              <w:t>2.2.29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Након хируршке процедуре уз локалну анестезију/</w:t>
            </w:r>
            <w:proofErr w:type="spellStart"/>
            <w:r>
              <w:rPr>
                <w:b/>
                <w:bCs/>
                <w:lang w:val="sr-Latn-CS"/>
              </w:rPr>
              <w:t>аналгезију</w:t>
            </w:r>
            <w:proofErr w:type="spellEnd"/>
            <w:r>
              <w:rPr>
                <w:b/>
                <w:bCs/>
                <w:lang w:val="sr-Latn-CS"/>
              </w:rPr>
              <w:t xml:space="preserve"> мора се обавити сљедеће:    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>2.2.29.1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Медицинско особље прати пацијента послије процедуре у локалној анестезији/</w:t>
            </w:r>
            <w:proofErr w:type="spellStart"/>
            <w:r>
              <w:rPr>
                <w:sz w:val="20"/>
                <w:szCs w:val="20"/>
                <w:lang w:val="sr-Latn-CS"/>
              </w:rPr>
              <w:t>аналгезији</w:t>
            </w:r>
            <w:proofErr w:type="spellEnd"/>
            <w:r>
              <w:rPr>
                <w:sz w:val="20"/>
                <w:szCs w:val="20"/>
                <w:lang w:val="sr-Latn-CS"/>
              </w:rPr>
              <w:t xml:space="preserve"> у погледу виталних знакова, нивоа свијести, интензитета бола, засићења кисеоником,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 2.2.29.2</w:t>
            </w:r>
          </w:p>
        </w:tc>
        <w:tc>
          <w:tcPr>
            <w:tcW w:w="4548" w:type="dxa"/>
            <w:tcBorders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Љекар документује статус пацијента послије процедуре,</w:t>
            </w:r>
          </w:p>
        </w:tc>
        <w:tc>
          <w:tcPr>
            <w:tcW w:w="78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 4</w:t>
            </w:r>
          </w:p>
        </w:tc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4A2105">
            <w:pPr>
              <w:jc w:val="right"/>
              <w:rPr>
                <w:sz w:val="20"/>
                <w:szCs w:val="20"/>
              </w:rPr>
            </w:pPr>
            <w:r w:rsidRPr="004A2105">
              <w:rPr>
                <w:sz w:val="20"/>
                <w:szCs w:val="20"/>
              </w:rPr>
              <w:t xml:space="preserve"> 2.2.29.3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 xml:space="preserve">Љекар пише налог за отпуст или за враћање пацијента назад на одјељење. У налогу се дају инструкције за  праћење пацијента послије отпуста, или враћања на одјељење,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  <w:r>
              <w:rPr>
                <w:sz w:val="20"/>
                <w:szCs w:val="20"/>
                <w:lang w:val="sr-Latn-CS"/>
              </w:rPr>
              <w:t>1 -  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sz w:val="20"/>
                <w:szCs w:val="20"/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z w:val="20"/>
                <w:szCs w:val="20"/>
                <w:lang w:val="sr-Latn-CS"/>
              </w:rPr>
            </w:pPr>
          </w:p>
        </w:tc>
      </w:tr>
      <w:tr w:rsidR="00235CEA" w:rsidTr="00E5030E"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Pr="004A2105" w:rsidRDefault="00235CEA" w:rsidP="00235CEA">
            <w:pPr>
              <w:rPr>
                <w:b/>
              </w:rPr>
            </w:pPr>
            <w:r w:rsidRPr="004A2105">
              <w:rPr>
                <w:b/>
              </w:rPr>
              <w:t>2.2.30</w:t>
            </w:r>
          </w:p>
        </w:tc>
        <w:tc>
          <w:tcPr>
            <w:tcW w:w="4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235CEA" w:rsidRDefault="00235CEA">
            <w:pPr>
              <w:snapToGrid w:val="0"/>
              <w:rPr>
                <w:b/>
                <w:bCs/>
                <w:lang w:val="sr-Latn-CS"/>
              </w:rPr>
            </w:pPr>
            <w:r>
              <w:rPr>
                <w:b/>
                <w:bCs/>
                <w:lang w:val="sr-Latn-CS"/>
              </w:rPr>
              <w:t>Приликом отпуста пацијента послије операције обављене у локалној анестезији/</w:t>
            </w:r>
            <w:proofErr w:type="spellStart"/>
            <w:r>
              <w:rPr>
                <w:b/>
                <w:bCs/>
                <w:lang w:val="sr-Latn-CS"/>
              </w:rPr>
              <w:t>аналгезији</w:t>
            </w:r>
            <w:proofErr w:type="spellEnd"/>
            <w:r>
              <w:rPr>
                <w:b/>
                <w:bCs/>
                <w:lang w:val="sr-Latn-CS"/>
              </w:rPr>
              <w:t xml:space="preserve">, пацијенту и/или његовој родбини дају се информације о праћењу стања пацијента, што укључује опис неопходних контрола и број телефона за позив у случају </w:t>
            </w:r>
            <w:proofErr w:type="spellStart"/>
            <w:r>
              <w:rPr>
                <w:b/>
                <w:bCs/>
                <w:lang w:val="sr-Latn-CS"/>
              </w:rPr>
              <w:t>хитности</w:t>
            </w:r>
            <w:proofErr w:type="spellEnd"/>
            <w:r>
              <w:rPr>
                <w:b/>
                <w:bCs/>
                <w:lang w:val="sr-Latn-CS"/>
              </w:rPr>
              <w:t xml:space="preserve">. </w:t>
            </w:r>
          </w:p>
        </w:tc>
        <w:tc>
          <w:tcPr>
            <w:tcW w:w="7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>С</w:t>
            </w:r>
          </w:p>
        </w:tc>
        <w:tc>
          <w:tcPr>
            <w:tcW w:w="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  <w:r>
              <w:rPr>
                <w:lang w:val="sr-Latn-CS"/>
              </w:rPr>
              <w:t xml:space="preserve">1 – 4 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235CEA" w:rsidRDefault="00235CEA">
            <w:pPr>
              <w:pStyle w:val="a2"/>
              <w:snapToGrid w:val="0"/>
              <w:jc w:val="center"/>
              <w:rPr>
                <w:lang w:val="sr-Latn-CS"/>
              </w:rPr>
            </w:pPr>
          </w:p>
        </w:tc>
        <w:tc>
          <w:tcPr>
            <w:tcW w:w="1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35CEA" w:rsidRDefault="00235CEA">
            <w:pPr>
              <w:pStyle w:val="a2"/>
              <w:snapToGrid w:val="0"/>
              <w:rPr>
                <w:shd w:val="clear" w:color="auto" w:fill="FFFF00"/>
                <w:lang w:val="sr-Latn-CS"/>
              </w:rPr>
            </w:pPr>
          </w:p>
        </w:tc>
      </w:tr>
    </w:tbl>
    <w:p w:rsidR="00AD47F1" w:rsidRDefault="00AD47F1"/>
    <w:sectPr w:rsidR="00AD47F1" w:rsidSect="00772406">
      <w:headerReference w:type="default" r:id="rId8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AAB" w:rsidRDefault="001D2AAB" w:rsidP="00FB067F">
      <w:r>
        <w:separator/>
      </w:r>
    </w:p>
  </w:endnote>
  <w:endnote w:type="continuationSeparator" w:id="0">
    <w:p w:rsidR="001D2AAB" w:rsidRDefault="001D2AAB" w:rsidP="00FB0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AAB" w:rsidRDefault="001D2AAB" w:rsidP="00FB067F">
      <w:r>
        <w:separator/>
      </w:r>
    </w:p>
  </w:footnote>
  <w:footnote w:type="continuationSeparator" w:id="0">
    <w:p w:rsidR="001D2AAB" w:rsidRDefault="001D2AAB" w:rsidP="00FB06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53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993"/>
      <w:gridCol w:w="4689"/>
      <w:gridCol w:w="784"/>
      <w:gridCol w:w="849"/>
      <w:gridCol w:w="717"/>
      <w:gridCol w:w="1616"/>
    </w:tblGrid>
    <w:tr w:rsidR="00E31ADD">
      <w:trPr>
        <w:tblHeader/>
      </w:trPr>
      <w:tc>
        <w:tcPr>
          <w:tcW w:w="993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Група стандарда</w:t>
          </w:r>
        </w:p>
      </w:tc>
      <w:tc>
        <w:tcPr>
          <w:tcW w:w="468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Pr="00FB067F" w:rsidRDefault="00E31ADD" w:rsidP="00FB067F">
          <w:pPr>
            <w:pStyle w:val="a2"/>
            <w:snapToGrid w:val="0"/>
            <w:rPr>
              <w:b/>
              <w:bCs/>
              <w:sz w:val="20"/>
              <w:szCs w:val="20"/>
              <w:lang w:val="sr-Latn-CS"/>
            </w:rPr>
          </w:pPr>
          <w:r w:rsidRPr="00FB067F">
            <w:rPr>
              <w:b/>
              <w:bCs/>
              <w:sz w:val="20"/>
              <w:szCs w:val="20"/>
              <w:lang w:val="sr-Latn-CS"/>
            </w:rPr>
            <w:t>2. Клиничке услуге</w:t>
          </w:r>
        </w:p>
      </w:tc>
      <w:tc>
        <w:tcPr>
          <w:tcW w:w="78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6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E31ADD" w:rsidRPr="00FB067F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 w:rsidRPr="00FB067F">
            <w:rPr>
              <w:lang w:val="sr-Latn-CS"/>
            </w:rPr>
            <w:t xml:space="preserve">страна </w:t>
          </w:r>
          <w:r w:rsidRPr="00FB067F">
            <w:rPr>
              <w:lang w:val="sr-Latn-CS"/>
            </w:rPr>
            <w:fldChar w:fldCharType="begin"/>
          </w:r>
          <w:r w:rsidRPr="00FB067F">
            <w:rPr>
              <w:lang w:val="sr-Latn-CS"/>
            </w:rPr>
            <w:instrText xml:space="preserve"> PAGE </w:instrText>
          </w:r>
          <w:r w:rsidRPr="00FB067F">
            <w:rPr>
              <w:lang w:val="sr-Latn-CS"/>
            </w:rPr>
            <w:fldChar w:fldCharType="separate"/>
          </w:r>
          <w:r w:rsidR="00897F5E">
            <w:rPr>
              <w:noProof/>
              <w:lang w:val="sr-Latn-CS"/>
            </w:rPr>
            <w:t>7</w:t>
          </w:r>
          <w:r w:rsidRPr="00FB067F">
            <w:rPr>
              <w:lang w:val="sr-Latn-CS"/>
            </w:rPr>
            <w:fldChar w:fldCharType="end"/>
          </w:r>
          <w:r w:rsidRPr="00FB067F">
            <w:rPr>
              <w:lang w:val="sr-Latn-CS"/>
            </w:rPr>
            <w:t xml:space="preserve">од </w:t>
          </w:r>
          <w:r w:rsidRPr="00FB067F">
            <w:rPr>
              <w:lang w:val="sr-Latn-CS"/>
            </w:rPr>
            <w:fldChar w:fldCharType="begin"/>
          </w:r>
          <w:r w:rsidRPr="00FB067F">
            <w:rPr>
              <w:lang w:val="sr-Latn-CS"/>
            </w:rPr>
            <w:instrText xml:space="preserve"> NUMPAGES \*Arabic </w:instrText>
          </w:r>
          <w:r w:rsidRPr="00FB067F">
            <w:rPr>
              <w:lang w:val="sr-Latn-CS"/>
            </w:rPr>
            <w:fldChar w:fldCharType="separate"/>
          </w:r>
          <w:r w:rsidR="00897F5E">
            <w:rPr>
              <w:noProof/>
              <w:lang w:val="sr-Latn-CS"/>
            </w:rPr>
            <w:t>7</w:t>
          </w:r>
          <w:r w:rsidRPr="00FB067F">
            <w:rPr>
              <w:lang w:val="sr-Latn-CS"/>
            </w:rPr>
            <w:fldChar w:fldCharType="end"/>
          </w:r>
        </w:p>
      </w:tc>
    </w:tr>
    <w:tr w:rsidR="00E31ADD">
      <w:trPr>
        <w:tblHeader/>
      </w:trPr>
      <w:tc>
        <w:tcPr>
          <w:tcW w:w="993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Подгрупа</w:t>
          </w:r>
        </w:p>
      </w:tc>
      <w:tc>
        <w:tcPr>
          <w:tcW w:w="4689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sz w:val="20"/>
              <w:szCs w:val="20"/>
              <w:lang w:val="sr-Latn-CS"/>
            </w:rPr>
          </w:pPr>
          <w:r>
            <w:rPr>
              <w:sz w:val="20"/>
              <w:szCs w:val="20"/>
              <w:lang w:val="sr-Latn-CS"/>
            </w:rPr>
            <w:t>2.2 Хируршке службе – Анестезија</w:t>
          </w:r>
        </w:p>
      </w:tc>
      <w:tc>
        <w:tcPr>
          <w:tcW w:w="784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849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717" w:type="dxa"/>
          <w:tcBorders>
            <w:left w:val="single" w:sz="2" w:space="0" w:color="000000"/>
            <w:bottom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  <w:tc>
        <w:tcPr>
          <w:tcW w:w="1616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</w:tcPr>
        <w:p w:rsidR="00E31ADD" w:rsidRDefault="00E31ADD" w:rsidP="00FB067F">
          <w:pPr>
            <w:pStyle w:val="a2"/>
            <w:snapToGrid w:val="0"/>
            <w:rPr>
              <w:lang w:val="sr-Latn-CS"/>
            </w:rPr>
          </w:pPr>
        </w:p>
      </w:tc>
    </w:tr>
  </w:tbl>
  <w:p w:rsidR="00E31ADD" w:rsidRDefault="00E31AD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065E0"/>
    <w:multiLevelType w:val="hybridMultilevel"/>
    <w:tmpl w:val="21F4F998"/>
    <w:lvl w:ilvl="0" w:tplc="45AC42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1C1A0019">
      <w:start w:val="1"/>
      <w:numFmt w:val="lowerLetter"/>
      <w:lvlText w:val="%2."/>
      <w:lvlJc w:val="left"/>
      <w:pPr>
        <w:ind w:left="1440" w:hanging="360"/>
      </w:pPr>
    </w:lvl>
    <w:lvl w:ilvl="2" w:tplc="1C1A001B">
      <w:start w:val="1"/>
      <w:numFmt w:val="lowerRoman"/>
      <w:lvlText w:val="%3."/>
      <w:lvlJc w:val="right"/>
      <w:pPr>
        <w:ind w:left="2160" w:hanging="180"/>
      </w:pPr>
    </w:lvl>
    <w:lvl w:ilvl="3" w:tplc="1C1A000F">
      <w:start w:val="1"/>
      <w:numFmt w:val="decimal"/>
      <w:lvlText w:val="%4."/>
      <w:lvlJc w:val="left"/>
      <w:pPr>
        <w:ind w:left="2880" w:hanging="360"/>
      </w:pPr>
    </w:lvl>
    <w:lvl w:ilvl="4" w:tplc="1C1A0019">
      <w:start w:val="1"/>
      <w:numFmt w:val="lowerLetter"/>
      <w:lvlText w:val="%5."/>
      <w:lvlJc w:val="left"/>
      <w:pPr>
        <w:ind w:left="3600" w:hanging="360"/>
      </w:pPr>
    </w:lvl>
    <w:lvl w:ilvl="5" w:tplc="1C1A001B">
      <w:start w:val="1"/>
      <w:numFmt w:val="lowerRoman"/>
      <w:lvlText w:val="%6."/>
      <w:lvlJc w:val="right"/>
      <w:pPr>
        <w:ind w:left="4320" w:hanging="180"/>
      </w:pPr>
    </w:lvl>
    <w:lvl w:ilvl="6" w:tplc="1C1A000F">
      <w:start w:val="1"/>
      <w:numFmt w:val="decimal"/>
      <w:lvlText w:val="%7."/>
      <w:lvlJc w:val="left"/>
      <w:pPr>
        <w:ind w:left="5040" w:hanging="360"/>
      </w:pPr>
    </w:lvl>
    <w:lvl w:ilvl="7" w:tplc="1C1A0019">
      <w:start w:val="1"/>
      <w:numFmt w:val="lowerLetter"/>
      <w:lvlText w:val="%8."/>
      <w:lvlJc w:val="left"/>
      <w:pPr>
        <w:ind w:left="5760" w:hanging="360"/>
      </w:pPr>
    </w:lvl>
    <w:lvl w:ilvl="8" w:tplc="1C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oNotTrackMoves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36C6"/>
    <w:rsid w:val="001D2AAB"/>
    <w:rsid w:val="00235CEA"/>
    <w:rsid w:val="00256C00"/>
    <w:rsid w:val="00340567"/>
    <w:rsid w:val="003836C6"/>
    <w:rsid w:val="004240AD"/>
    <w:rsid w:val="004A2105"/>
    <w:rsid w:val="00570488"/>
    <w:rsid w:val="0059796C"/>
    <w:rsid w:val="00625D95"/>
    <w:rsid w:val="0063528D"/>
    <w:rsid w:val="00772406"/>
    <w:rsid w:val="00897F5E"/>
    <w:rsid w:val="00992E30"/>
    <w:rsid w:val="009A67F0"/>
    <w:rsid w:val="00A53853"/>
    <w:rsid w:val="00A84A08"/>
    <w:rsid w:val="00AD47F1"/>
    <w:rsid w:val="00CD788A"/>
    <w:rsid w:val="00CE76DA"/>
    <w:rsid w:val="00DB1E9D"/>
    <w:rsid w:val="00E31ADD"/>
    <w:rsid w:val="00E5030E"/>
    <w:rsid w:val="00E87CEF"/>
    <w:rsid w:val="00F133A9"/>
    <w:rsid w:val="00F41803"/>
    <w:rsid w:val="00F9361B"/>
    <w:rsid w:val="00FB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406"/>
    <w:pPr>
      <w:widowControl w:val="0"/>
      <w:suppressAutoHyphens/>
    </w:pPr>
    <w:rPr>
      <w:kern w:val="1"/>
      <w:sz w:val="24"/>
      <w:szCs w:val="24"/>
      <w:lang w:val="ru-RU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DefaultParagraphFont">
    <w:name w:val="WW-Default Paragraph Font"/>
    <w:uiPriority w:val="99"/>
    <w:rsid w:val="00772406"/>
  </w:style>
  <w:style w:type="character" w:customStyle="1" w:styleId="WW-DefaultParagraphFont1">
    <w:name w:val="WW-Default Paragraph Font1"/>
    <w:uiPriority w:val="99"/>
    <w:rsid w:val="00772406"/>
  </w:style>
  <w:style w:type="paragraph" w:customStyle="1" w:styleId="a">
    <w:name w:val="Заголовок"/>
    <w:basedOn w:val="Normal"/>
    <w:next w:val="BodyText"/>
    <w:uiPriority w:val="99"/>
    <w:rsid w:val="0077240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7240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B623F4"/>
    <w:rPr>
      <w:rFonts w:cs="Mangal"/>
      <w:kern w:val="1"/>
      <w:sz w:val="24"/>
      <w:szCs w:val="21"/>
      <w:lang w:val="ru-RU" w:eastAsia="hi-IN" w:bidi="hi-IN"/>
    </w:rPr>
  </w:style>
  <w:style w:type="paragraph" w:styleId="List">
    <w:name w:val="List"/>
    <w:basedOn w:val="BodyText"/>
    <w:uiPriority w:val="99"/>
    <w:rsid w:val="00772406"/>
  </w:style>
  <w:style w:type="paragraph" w:customStyle="1" w:styleId="a0">
    <w:name w:val="Название"/>
    <w:basedOn w:val="Normal"/>
    <w:uiPriority w:val="99"/>
    <w:rsid w:val="00772406"/>
    <w:pPr>
      <w:suppressLineNumbers/>
      <w:spacing w:before="120" w:after="120"/>
    </w:pPr>
    <w:rPr>
      <w:i/>
      <w:iCs/>
    </w:rPr>
  </w:style>
  <w:style w:type="paragraph" w:customStyle="1" w:styleId="a1">
    <w:name w:val="Указатель"/>
    <w:basedOn w:val="Normal"/>
    <w:uiPriority w:val="99"/>
    <w:rsid w:val="00772406"/>
    <w:pPr>
      <w:suppressLineNumbers/>
    </w:pPr>
  </w:style>
  <w:style w:type="paragraph" w:styleId="Title">
    <w:name w:val="Title"/>
    <w:basedOn w:val="a"/>
    <w:next w:val="Subtitle"/>
    <w:link w:val="TitleChar"/>
    <w:uiPriority w:val="99"/>
    <w:qFormat/>
    <w:rsid w:val="00772406"/>
  </w:style>
  <w:style w:type="character" w:customStyle="1" w:styleId="TitleChar">
    <w:name w:val="Title Char"/>
    <w:link w:val="Title"/>
    <w:uiPriority w:val="10"/>
    <w:rsid w:val="00B623F4"/>
    <w:rPr>
      <w:rFonts w:ascii="Cambria" w:eastAsia="Times New Roman" w:hAnsi="Cambria" w:cs="Mangal"/>
      <w:b/>
      <w:bCs/>
      <w:kern w:val="28"/>
      <w:sz w:val="32"/>
      <w:szCs w:val="29"/>
      <w:lang w:val="ru-RU" w:eastAsia="hi-IN" w:bidi="hi-IN"/>
    </w:rPr>
  </w:style>
  <w:style w:type="paragraph" w:styleId="Subtitle">
    <w:name w:val="Subtitle"/>
    <w:basedOn w:val="a"/>
    <w:next w:val="BodyText"/>
    <w:link w:val="SubtitleChar"/>
    <w:uiPriority w:val="99"/>
    <w:qFormat/>
    <w:rsid w:val="00772406"/>
    <w:pPr>
      <w:jc w:val="center"/>
    </w:pPr>
    <w:rPr>
      <w:i/>
      <w:iCs/>
    </w:rPr>
  </w:style>
  <w:style w:type="character" w:customStyle="1" w:styleId="SubtitleChar">
    <w:name w:val="Subtitle Char"/>
    <w:link w:val="Subtitle"/>
    <w:uiPriority w:val="11"/>
    <w:rsid w:val="00B623F4"/>
    <w:rPr>
      <w:rFonts w:ascii="Cambria" w:eastAsia="Times New Roman" w:hAnsi="Cambria" w:cs="Mangal"/>
      <w:kern w:val="1"/>
      <w:sz w:val="24"/>
      <w:szCs w:val="21"/>
      <w:lang w:val="ru-RU" w:eastAsia="hi-IN" w:bidi="hi-IN"/>
    </w:rPr>
  </w:style>
  <w:style w:type="paragraph" w:customStyle="1" w:styleId="a2">
    <w:name w:val="Содержимое таблицы"/>
    <w:basedOn w:val="Normal"/>
    <w:rsid w:val="00772406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772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623F4"/>
    <w:rPr>
      <w:rFonts w:cs="Mangal"/>
      <w:kern w:val="1"/>
      <w:sz w:val="0"/>
      <w:szCs w:val="0"/>
      <w:lang w:val="ru-RU" w:eastAsia="hi-IN" w:bidi="hi-IN"/>
    </w:rPr>
  </w:style>
  <w:style w:type="paragraph" w:customStyle="1" w:styleId="a3">
    <w:name w:val="Заголовок таблицы"/>
    <w:basedOn w:val="a2"/>
    <w:uiPriority w:val="99"/>
    <w:rsid w:val="00772406"/>
    <w:pPr>
      <w:jc w:val="center"/>
    </w:pPr>
    <w:rPr>
      <w:b/>
      <w:bCs/>
    </w:rPr>
  </w:style>
  <w:style w:type="character" w:styleId="CommentReference">
    <w:name w:val="annotation reference"/>
    <w:uiPriority w:val="99"/>
    <w:semiHidden/>
    <w:rsid w:val="004240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240AD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240AD"/>
    <w:rPr>
      <w:rFonts w:eastAsia="Times New Roman"/>
      <w:kern w:val="1"/>
      <w:sz w:val="18"/>
      <w:szCs w:val="18"/>
      <w:lang w:val="ru-RU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240AD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4240AD"/>
    <w:rPr>
      <w:rFonts w:eastAsia="Times New Roman"/>
      <w:b/>
      <w:bCs/>
      <w:kern w:val="1"/>
      <w:sz w:val="18"/>
      <w:szCs w:val="18"/>
      <w:lang w:val="ru-RU" w:eastAsia="hi-IN" w:bidi="hi-IN"/>
    </w:rPr>
  </w:style>
  <w:style w:type="paragraph" w:styleId="Header">
    <w:name w:val="header"/>
    <w:basedOn w:val="Normal"/>
    <w:link w:val="HeaderChar"/>
    <w:uiPriority w:val="99"/>
    <w:rsid w:val="00FB067F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locked/>
    <w:rsid w:val="00FB067F"/>
    <w:rPr>
      <w:rFonts w:eastAsia="Times New Roman"/>
      <w:kern w:val="1"/>
      <w:sz w:val="21"/>
      <w:szCs w:val="21"/>
      <w:lang w:val="ru-RU" w:eastAsia="hi-IN" w:bidi="hi-IN"/>
    </w:rPr>
  </w:style>
  <w:style w:type="paragraph" w:styleId="Footer">
    <w:name w:val="footer"/>
    <w:basedOn w:val="Normal"/>
    <w:link w:val="FooterChar"/>
    <w:uiPriority w:val="99"/>
    <w:rsid w:val="00FB067F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locked/>
    <w:rsid w:val="00FB067F"/>
    <w:rPr>
      <w:rFonts w:eastAsia="Times New Roman"/>
      <w:kern w:val="1"/>
      <w:sz w:val="21"/>
      <w:szCs w:val="21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1577</Words>
  <Characters>8992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Grupa standarda</vt:lpstr>
      <vt:lpstr>Grupa standarda</vt:lpstr>
    </vt:vector>
  </TitlesOfParts>
  <Company>- ETH0 -</Company>
  <LinksUpToDate>false</LinksUpToDate>
  <CharactersWithSpaces>10548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Grupa standarda</dc:title>
  <dc:subject/>
  <dc:creator>Radomir Bošković</dc:creator>
  <cp:keywords/>
  <dc:description/>
  <cp:lastModifiedBy>Djina</cp:lastModifiedBy>
  <cp:revision>7</cp:revision>
  <cp:lastPrinted>2010-08-11T09:51:00Z</cp:lastPrinted>
  <dcterms:created xsi:type="dcterms:W3CDTF">2012-02-16T13:13:00Z</dcterms:created>
  <dcterms:modified xsi:type="dcterms:W3CDTF">2012-09-03T10:50:00Z</dcterms:modified>
</cp:coreProperties>
</file>