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795" w:rsidRDefault="00195795" w:rsidP="00AB4A66">
      <w:pPr>
        <w:rPr>
          <w:lang w:val="sr-Cyrl-CS"/>
        </w:rPr>
      </w:pPr>
    </w:p>
    <w:p w:rsidR="00195795" w:rsidRPr="00625D95" w:rsidRDefault="00195795" w:rsidP="00AB4A66">
      <w:pPr>
        <w:rPr>
          <w:lang w:val="sr-Cyrl-CS"/>
        </w:rPr>
      </w:pPr>
    </w:p>
    <w:p w:rsidR="00195795" w:rsidRPr="00A53853" w:rsidRDefault="00195795" w:rsidP="00AB4A66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195795" w:rsidRPr="00A53853" w:rsidRDefault="00195795" w:rsidP="00AB4A66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81"/>
      </w:tblGrid>
      <w:tr w:rsidR="00195795" w:rsidRPr="00A53853">
        <w:trPr>
          <w:tblHeader/>
        </w:trPr>
        <w:tc>
          <w:tcPr>
            <w:tcW w:w="969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195795">
        <w:trPr>
          <w:tblHeader/>
        </w:trPr>
        <w:tc>
          <w:tcPr>
            <w:tcW w:w="969" w:type="dxa"/>
            <w:shd w:val="clear" w:color="auto" w:fill="CCCCCC"/>
          </w:tcPr>
          <w:p w:rsidR="00195795" w:rsidRPr="00A53853" w:rsidRDefault="00195795" w:rsidP="009B495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195795" w:rsidRPr="00A53853" w:rsidRDefault="00195795" w:rsidP="009B495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195795" w:rsidRPr="00A53853" w:rsidRDefault="00195795" w:rsidP="009B495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195795" w:rsidRPr="00A53853" w:rsidRDefault="00195795" w:rsidP="009B495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195795" w:rsidRPr="00A53853" w:rsidRDefault="00195795" w:rsidP="009B495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195795" w:rsidRPr="00A53853" w:rsidRDefault="00195795" w:rsidP="009B495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195795">
        <w:tc>
          <w:tcPr>
            <w:tcW w:w="969" w:type="dxa"/>
          </w:tcPr>
          <w:p w:rsidR="00195795" w:rsidRPr="00A53853" w:rsidRDefault="00195795" w:rsidP="009B4954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195795" w:rsidRPr="00A53853" w:rsidRDefault="00195795" w:rsidP="009B4954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vAlign w:val="center"/>
          </w:tcPr>
          <w:p w:rsidR="00195795" w:rsidRPr="00A53853" w:rsidRDefault="00195795" w:rsidP="009B495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</w:tcPr>
          <w:p w:rsidR="00195795" w:rsidRPr="00A53853" w:rsidRDefault="00195795" w:rsidP="009B4954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195795" w:rsidRPr="00A53853" w:rsidRDefault="00195795" w:rsidP="00AB4A66">
      <w:pPr>
        <w:rPr>
          <w:lang w:val="sr-Cyrl-CS"/>
        </w:rPr>
      </w:pPr>
    </w:p>
    <w:p w:rsidR="00195795" w:rsidRPr="00C314AC" w:rsidRDefault="00195795" w:rsidP="00AB4A66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195795" w:rsidRPr="00A53853" w:rsidRDefault="00195795" w:rsidP="00AB4A66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195795" w:rsidRPr="00A53853" w:rsidRDefault="00195795" w:rsidP="00AB4A66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195795" w:rsidRPr="00C314AC" w:rsidRDefault="00195795" w:rsidP="00AB4A66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195795" w:rsidRPr="00C314AC" w:rsidRDefault="00195795" w:rsidP="00AB4A66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195795" w:rsidRPr="00C314AC" w:rsidRDefault="00195795" w:rsidP="00AB4A66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195795" w:rsidRDefault="00195795" w:rsidP="00AB4A66">
      <w:pPr>
        <w:ind w:left="851" w:hanging="851"/>
        <w:rPr>
          <w:sz w:val="20"/>
          <w:szCs w:val="20"/>
          <w:lang w:val="sr-Cyrl-CS"/>
        </w:rPr>
      </w:pPr>
    </w:p>
    <w:p w:rsidR="00195795" w:rsidRPr="00A53853" w:rsidRDefault="00195795" w:rsidP="00AB4A66">
      <w:pPr>
        <w:ind w:left="851" w:hanging="851"/>
        <w:rPr>
          <w:sz w:val="20"/>
          <w:szCs w:val="20"/>
          <w:lang w:val="sr-Cyrl-CS"/>
        </w:rPr>
      </w:pPr>
    </w:p>
    <w:p w:rsidR="00195795" w:rsidRPr="00A53853" w:rsidRDefault="00195795" w:rsidP="00AB4A66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195795" w:rsidRPr="00AB4A66" w:rsidRDefault="00195795">
      <w:pPr>
        <w:rPr>
          <w:lang w:val="sr-Latn-CS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50"/>
        <w:gridCol w:w="4544"/>
        <w:gridCol w:w="781"/>
        <w:gridCol w:w="923"/>
        <w:gridCol w:w="810"/>
        <w:gridCol w:w="1451"/>
      </w:tblGrid>
      <w:tr w:rsidR="00195795" w:rsidTr="00C960B4">
        <w:trPr>
          <w:tblHeader/>
        </w:trPr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95" w:rsidRPr="009B4954" w:rsidRDefault="00195795">
            <w:pPr>
              <w:pStyle w:val="a2"/>
              <w:snapToGrid w:val="0"/>
              <w:spacing w:line="100" w:lineRule="atLeast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195795" w:rsidTr="00C960B4">
        <w:trPr>
          <w:tblHeader/>
        </w:trPr>
        <w:tc>
          <w:tcPr>
            <w:tcW w:w="11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95795" w:rsidRDefault="001957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95795" w:rsidRDefault="00195795">
            <w:pPr>
              <w:pStyle w:val="a2"/>
              <w:snapToGrid w:val="0"/>
              <w:spacing w:line="100" w:lineRule="atLeas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95795" w:rsidRDefault="001957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95795" w:rsidRDefault="001957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195795" w:rsidRDefault="001957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195795" w:rsidRDefault="00195795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195795" w:rsidTr="00C960B4">
        <w:tc>
          <w:tcPr>
            <w:tcW w:w="11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</w:p>
        </w:tc>
        <w:tc>
          <w:tcPr>
            <w:tcW w:w="4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autoSpaceDE w:val="0"/>
              <w:snapToGrid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а) Опште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autoSpaceDE w:val="0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Начелник клинике или одјељења интерне медицине је специјалиста/суб-специјалиста интерне медицине с одговарајућим радним искуством.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изјаву о мисији, визији и вриједностима која је доступна јавности, а повезана је с изјавом о мисији, визији и вриједностима установе.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Цјелокупно особље запослено на клиници или одјељењу упознато је с изјавом о мисији, визији и вриједностима.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bookmarkStart w:id="0" w:name="__DdeLink__18556_17222205101"/>
            <w:r>
              <w:rPr>
                <w:b/>
                <w:bCs/>
                <w:lang w:val="sr-Latn-CS"/>
              </w:rPr>
              <w:t>Клиника или одјељење интерне медицине</w:t>
            </w:r>
            <w:bookmarkEnd w:id="0"/>
            <w:r>
              <w:rPr>
                <w:b/>
                <w:bCs/>
                <w:lang w:val="sr-Latn-CS"/>
              </w:rPr>
              <w:t xml:space="preserve"> проводи политике значајне за мисију установе и процјењује степен њихове примјене.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ажуран списак стања и обољења која се могу третирати у тој организационој јединици.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2.5.4.1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стање или обољење у списку назначено је које особље може да третира то стање или обољење.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2.5.4.2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списку су идентификована стања која се сматрају хитним.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2.5.4.3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идентификовано хитно стање постоји алгоритам збрињавања.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годишњи и мјесечне планове рада, одобрене од надлежног руководства.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2.5.5.1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 клинике или одјељење са својим тимом редовно прати реализацију плана рада.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2.5.5.2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 се састаје начелно једном мјесечно, састанци су документовани, а закључци се просљеђују пословодству.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2.5.5.3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 од уочених недостатака, планови се ревидирају.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lang w:val="sr-Latn-CS"/>
              </w:rPr>
            </w:pPr>
            <w:bookmarkStart w:id="1" w:name="__DdeLink__18550_17222205101"/>
            <w:r>
              <w:rPr>
                <w:b/>
                <w:bCs/>
                <w:lang w:val="sr-Latn-CS"/>
              </w:rPr>
              <w:t>Клиника или одјељење интерне медицине</w:t>
            </w:r>
            <w:bookmarkEnd w:id="1"/>
            <w:r>
              <w:rPr>
                <w:b/>
                <w:bCs/>
                <w:lang w:val="sr-Latn-CS"/>
              </w:rPr>
              <w:t xml:space="preserve"> има дефинисану и докумен-товану унутрашњу организацију.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2.5.6.1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доказ да су </w:t>
            </w:r>
            <w:bookmarkStart w:id="2" w:name="__DdeLink__27557_1466506501"/>
            <w:r>
              <w:rPr>
                <w:sz w:val="20"/>
                <w:szCs w:val="20"/>
                <w:lang w:val="sr-Latn-CS"/>
              </w:rPr>
              <w:t xml:space="preserve">сви запослени </w:t>
            </w:r>
            <w:bookmarkEnd w:id="2"/>
            <w:r>
              <w:rPr>
                <w:sz w:val="20"/>
                <w:szCs w:val="20"/>
                <w:lang w:val="sr-Latn-CS"/>
              </w:rPr>
              <w:t>на клиници или одјељењу квалификовани и да имају одговарајуће образовање и радно искуство, сагласно захтјевима радног мјеста.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2.5.6.2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сви запослени на клиници или одјељењу имају дефинисан опис посла и да су упознати с њим.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2.5.6.3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именовани координатор за квалитет.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службу дежурства и/или приправности, с јасно дефинисаним учесницима и припадајућим обавезама.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2.5.7.1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Клиника или одјељење посједује књигу примопредаје дежурства која садржи коментаре о протеклом дежурству, те евиденцију о евентуалним ванредним ситуацијама, застоју у раду опреме и сл.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2.5.8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примјењује документоване поступке за интерну/екстерну комуникацију, управљања подацима и медицинском документацијом.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2.5.8.1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B21E0E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и примјењује се документовани поступак који утврђује начин и трајање чувања снимака и налаза пацијената у складу са закон</w:t>
            </w:r>
            <w:r>
              <w:rPr>
                <w:sz w:val="20"/>
                <w:szCs w:val="20"/>
                <w:lang w:val="sr-Cyrl-CS"/>
              </w:rPr>
              <w:t>о</w:t>
            </w:r>
            <w:r>
              <w:rPr>
                <w:sz w:val="20"/>
                <w:szCs w:val="20"/>
                <w:lang w:val="sr-Latn-CS"/>
              </w:rPr>
              <w:t xml:space="preserve">м.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2.5.9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B21E0E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примјењује документовани поступак за развој нових запослених, кој</w:t>
            </w:r>
            <w:r>
              <w:rPr>
                <w:b/>
                <w:bCs/>
                <w:lang w:val="sr-Cyrl-CS"/>
              </w:rPr>
              <w:t>и</w:t>
            </w:r>
            <w:r>
              <w:rPr>
                <w:b/>
                <w:bCs/>
                <w:lang w:val="sr-Latn-CS"/>
              </w:rPr>
              <w:t xml:space="preserve"> садржи опис послова, методе процјене знања и вјештина, те план едукације о коришћењу опреме.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2.5.10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Особље на клиници или одјељењу интерне медицине обучено је за третман хитних стања, о чему постоје документовани докази.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2.5.10.1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Особље, које учествује у третману хитних стања, укључено је у програм обуке и периодичне провјере компетенција.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интерне медицине посједује инфраструктуру која одговара врсти услуга, доброј професионалној пракси и прописаним нормативима.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2.5.11.1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E9238C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Простор у којем се обављају медицинске процедуре задовољава </w:t>
            </w:r>
            <w:r>
              <w:rPr>
                <w:sz w:val="20"/>
                <w:szCs w:val="20"/>
                <w:lang w:val="sr-Cyrl-CS"/>
              </w:rPr>
              <w:t xml:space="preserve">захтјеве и техничке </w:t>
            </w:r>
            <w:r>
              <w:rPr>
                <w:sz w:val="20"/>
                <w:szCs w:val="20"/>
                <w:lang w:val="sr-Latn-CS"/>
              </w:rPr>
              <w:t>стандарде за област дјеловања.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2.5.11.2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Клиника или одјељење интерне медицине посједује списак све медицинске опреме с локацијом употребе.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интерне медицине посједује покретни </w:t>
            </w:r>
            <w:bookmarkStart w:id="3" w:name="__DdeLink__6059_1927946651"/>
            <w:r>
              <w:rPr>
                <w:b/>
                <w:bCs/>
                <w:lang w:val="sr-Latn-CS"/>
              </w:rPr>
              <w:t xml:space="preserve">комплет лијекова и прибора за хитне случајеве.  </w:t>
            </w:r>
            <w:bookmarkEnd w:id="3"/>
            <w:r>
              <w:rPr>
                <w:b/>
                <w:bCs/>
                <w:lang w:val="sr-Latn-CS"/>
              </w:rPr>
              <w:t xml:space="preserve">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Pr="00B21E0E" w:rsidRDefault="00195795">
            <w:pPr>
              <w:snapToGrid w:val="0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Latn-CS"/>
              </w:rPr>
              <w:t>Комплет се може налазити на колицима, покретном сточићу и сл. што омогућује брзо премјештање</w:t>
            </w: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2.5.12.1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bookmarkStart w:id="4" w:name="__DdeLink__23015_7567034611"/>
            <w:bookmarkStart w:id="5" w:name="__DdeLink__23023_7567034611"/>
            <w:r>
              <w:rPr>
                <w:sz w:val="20"/>
                <w:szCs w:val="20"/>
                <w:lang w:val="sr-Latn-CS"/>
              </w:rPr>
              <w:t>Постоји одређено лице које прати рокове и редовно обнавља садржај комплета лијекова и прибора за хитне случајеве и документује своје активности</w:t>
            </w:r>
            <w:bookmarkEnd w:id="4"/>
            <w:bookmarkEnd w:id="5"/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2.5.13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сет за антишок-терапију, на свим мјестима гдје се може очекивати нежељена алергијска реакција. Сет се периодично провјерава и допуњава, о чему постоји релевантна документација.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2.5.13.1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одређено лице које прати рокове и редовно обнавља садржај анти-шок сета и документује своје активности.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интерне медицине примјењује програм управљања инфраструктуром и безбједношћу који обухвата најмање: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Периодичну провјеру исправности критичне медицинске опреме од стране технички компетентних лица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E9238C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и означавање инфраструктуре ради лаког сналажење у простору,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2.5.14.8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називи одјељења,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одржавање чистоће постоје документована упутства која описују која се подручја чисте, распоред чишћења и поступак чишћења појединих површина.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2.5.15.1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Клиника или одјељење интерне медицине посједује распоред/план чишћења/дезинфекције који наводи све површине које се чисте. Овај документ садржи попис предмета које треба очистити, хемикалије које се користе при чишћењу, учесталост чишћења и особе задужене за сваку активност.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Радна средина одржава се чистом</w:t>
            </w:r>
            <w:r>
              <w:rPr>
                <w:b/>
                <w:bCs/>
                <w:lang w:val="sr-Cyrl-CS"/>
              </w:rPr>
              <w:t>:</w:t>
            </w:r>
            <w:r>
              <w:rPr>
                <w:b/>
                <w:bCs/>
                <w:lang w:val="sr-Latn-CS"/>
              </w:rPr>
              <w:t xml:space="preserve"> 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2.5.16.1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Просторије, ормари и кабинети су чисти,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2.5.16.2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 се конзумира на дефинисаним мјестима,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2.5.16.3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клиници или одјељењу постоји комплет за чишћење просуте крви који садржи сву неопходну опрему,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Именовање координатора за  спречавање болничких инфекција и надзор над њима,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 стерилности, гдје је она прописана,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простора,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с вешом,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употребом заштитне опреме,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руку,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2.5.17.7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О</w:t>
            </w:r>
            <w:r>
              <w:rPr>
                <w:sz w:val="20"/>
                <w:szCs w:val="20"/>
              </w:rPr>
              <w:t>длагање оштрих предмета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2.5.18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план и програм провођења интерних провјера.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2.5.19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интерне медицине посједује и примјењује документовани поступак интерних провјера који обухвата најмање: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2.5.19.1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Мје</w:t>
            </w:r>
            <w:r>
              <w:rPr>
                <w:sz w:val="20"/>
                <w:szCs w:val="20"/>
              </w:rPr>
              <w:t>ре заштите животне средине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2.5.19.2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 безбједности и заштит</w:t>
            </w:r>
            <w:r>
              <w:rPr>
                <w:sz w:val="20"/>
                <w:szCs w:val="20"/>
                <w:lang w:val="sr-Latn-BA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здравља пацијената, особља и пос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>етилаца.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2.5.19.3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Мјере </w:t>
            </w:r>
            <w:r w:rsidRPr="00C314AC">
              <w:rPr>
                <w:sz w:val="20"/>
                <w:szCs w:val="20"/>
              </w:rPr>
              <w:t>безб</w:t>
            </w:r>
            <w:r>
              <w:rPr>
                <w:sz w:val="20"/>
                <w:szCs w:val="20"/>
                <w:lang w:val="sr-Latn-CS"/>
              </w:rPr>
              <w:t>ј</w:t>
            </w:r>
            <w:r w:rsidRPr="00C314AC">
              <w:rPr>
                <w:sz w:val="20"/>
                <w:szCs w:val="20"/>
              </w:rPr>
              <w:t>едност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C314AC">
              <w:rPr>
                <w:sz w:val="20"/>
                <w:szCs w:val="20"/>
              </w:rPr>
              <w:t xml:space="preserve"> и сигурност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C314A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 и података.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2.5.20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документоване механизме за препознавање неусаглашен</w:t>
            </w:r>
            <w:r w:rsidRPr="00C314AC">
              <w:rPr>
                <w:b/>
                <w:bCs/>
              </w:rPr>
              <w:t>ости и</w:t>
            </w:r>
            <w:r>
              <w:rPr>
                <w:b/>
                <w:bCs/>
                <w:lang w:val="sr-Latn-CS"/>
              </w:rPr>
              <w:t xml:space="preserve"> проблема у процесима рада.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2.5.20.1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C706C6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Клиника или одјељење интерне медицине има дефинисан механизам за спровођење </w:t>
            </w:r>
            <w:r w:rsidR="00C706C6">
              <w:rPr>
                <w:sz w:val="20"/>
                <w:szCs w:val="20"/>
                <w:lang w:val="sr-Cyrl-CS"/>
              </w:rPr>
              <w:t xml:space="preserve">корективних </w:t>
            </w:r>
            <w:r>
              <w:rPr>
                <w:sz w:val="20"/>
                <w:szCs w:val="20"/>
                <w:lang w:val="sr-Latn-CS"/>
              </w:rPr>
              <w:t>мјера</w:t>
            </w:r>
            <w:bookmarkStart w:id="6" w:name="_GoBack"/>
            <w:bookmarkEnd w:id="6"/>
            <w:r>
              <w:rPr>
                <w:sz w:val="20"/>
                <w:szCs w:val="20"/>
                <w:lang w:val="sr-Latn-CS"/>
              </w:rPr>
              <w:t>, оцјену ефеката, те материјални доказ о проведеним мјерама.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2.5.21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прати и анализира дефини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сане показатеље квалитета и о томе извјештава Агенцију за сертификацију, акредитацију и унапређење квалитета Републике Српске.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2.5.21.1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Подаци о кретању показатеља квалитета користе се у пројектима клиничке ревизије и унапређења клиничке праксе.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примјењује политику и документоване поступке за извјештавање о инцидентима у складу с политиком здравствене установе.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примјењује кодекс пословне етике установе</w:t>
            </w:r>
            <w:r>
              <w:rPr>
                <w:b/>
                <w:bCs/>
                <w:lang w:val="sr-Latn-BA"/>
              </w:rPr>
              <w:t>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2.5.23.1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Свo особље упознато је с кодексом пословн</w:t>
            </w:r>
            <w:r w:rsidRPr="00C314AC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етик</w:t>
            </w:r>
            <w:r w:rsidRPr="00C314AC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b/>
                <w:bCs/>
                <w:lang w:val="sr-Latn-BA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</w:t>
            </w:r>
            <w:r>
              <w:rPr>
                <w:b/>
                <w:bCs/>
                <w:lang w:val="sr-Cyrl-CS"/>
              </w:rPr>
              <w:t>-</w:t>
            </w:r>
            <w:r>
              <w:rPr>
                <w:b/>
                <w:bCs/>
                <w:lang w:val="sr-Latn-CS"/>
              </w:rPr>
              <w:t>цине</w:t>
            </w:r>
            <w:r>
              <w:rPr>
                <w:b/>
                <w:bCs/>
                <w:lang w:val="sr-Latn-BA"/>
              </w:rPr>
              <w:t xml:space="preserve"> примјењује законску регулативу која се тиче права и укључења пацијената у процес лијечења.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2.5.24.1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 w:rsidRPr="00C314AC">
              <w:rPr>
                <w:sz w:val="20"/>
                <w:szCs w:val="20"/>
              </w:rPr>
              <w:t>У о</w:t>
            </w:r>
            <w:r>
              <w:rPr>
                <w:sz w:val="20"/>
                <w:szCs w:val="20"/>
                <w:lang w:val="sr-Latn-CS"/>
              </w:rPr>
              <w:t>пис посла здравствених радни</w:t>
            </w:r>
            <w:r>
              <w:rPr>
                <w:sz w:val="20"/>
                <w:szCs w:val="20"/>
                <w:lang w:val="sr-Latn-BA"/>
              </w:rPr>
              <w:t>к</w:t>
            </w:r>
            <w:r>
              <w:rPr>
                <w:sz w:val="20"/>
                <w:szCs w:val="20"/>
                <w:lang w:val="sr-Latn-CS"/>
              </w:rPr>
              <w:t>а укључ</w:t>
            </w:r>
            <w:r>
              <w:rPr>
                <w:sz w:val="20"/>
                <w:szCs w:val="20"/>
                <w:lang w:val="sr-Latn-BA"/>
              </w:rPr>
              <w:t>ена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BA"/>
              </w:rPr>
              <w:t xml:space="preserve">је </w:t>
            </w:r>
            <w:r>
              <w:rPr>
                <w:sz w:val="20"/>
                <w:szCs w:val="20"/>
                <w:lang w:val="sr-Latn-CS"/>
              </w:rPr>
              <w:t>њихова улога у информисању пацијената/породица.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2.5.24.2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BA"/>
              </w:rPr>
              <w:t>Здравствени радници информи</w:t>
            </w:r>
            <w:r>
              <w:rPr>
                <w:sz w:val="20"/>
                <w:szCs w:val="20"/>
                <w:lang w:val="sr-Latn-CS"/>
              </w:rPr>
              <w:t>шу</w:t>
            </w:r>
            <w:r>
              <w:rPr>
                <w:sz w:val="20"/>
                <w:szCs w:val="20"/>
                <w:lang w:val="sr-Latn-BA"/>
              </w:rPr>
              <w:t xml:space="preserve"> пацијента о типу дијагностике и третмана, начину примјене и могућим компликацијама.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2.5.24.3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Пацијент добија потпуну информацију  </w:t>
            </w:r>
            <w:r>
              <w:rPr>
                <w:sz w:val="20"/>
                <w:szCs w:val="20"/>
                <w:lang w:val="sr-Latn-BA"/>
              </w:rPr>
              <w:t>о дијагностичкој и свакој другој процедури.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2.5.24.4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Проц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 xml:space="preserve">ењује се разумијевање обављеног информисања од стране пацијента/породице, путем посматрања и  тражења повратних информација (усмено, демонстрација). 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добија писмену сагласности пацијента за фотографисање, нарочито ако се фотографише лице пацијента. Сагласност обухвата пристанак за приказивање и објављивање таквих фотографија.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2.5.26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after="12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 него што се изведе било која инвазивна дијагностичка процедура пацијент (или његов старатељ) даје свој писмени пристанак потписујући формулар који садржи: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2.5.26.1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Јасну идентификацију особе која даје пристанак, нарочито када то ради неко у име пацијента,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2.5.26.2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 инвазивне процедуре која ће бити изведена на пацијенту. Опис се даје на језику који пацијент разумије, пожељно на његовом матерњем,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2.5.26.3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 и презиме доктора који ће извести процедуру, уз његов власторучни потпис,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2.5.26.4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after="12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Опис свих познатих ризика за намјеравану инвазивну процедуру,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2.5.26.5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after="120"/>
              <w:rPr>
                <w:sz w:val="20"/>
                <w:szCs w:val="20"/>
                <w:lang w:val="sr-Latn-BA"/>
              </w:rPr>
            </w:pPr>
            <w:r w:rsidRPr="00C314AC">
              <w:rPr>
                <w:sz w:val="20"/>
                <w:szCs w:val="20"/>
              </w:rPr>
              <w:t>Вријеме када је пристанак дат (када је потписан формулар)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widowControl/>
              <w:suppressAutoHyphens w:val="0"/>
              <w:autoSpaceDE w:val="0"/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>б) Пружање услуга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има пријемну амбуланту и пружа консултативне услуге другим одјељењима/клиникама: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2.5.27.1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5430A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Особље које ради у пријемној амбуланти или пружа консултативне услуге, води протокол о обављеним прегледима и/или датим консултацијама.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2.5.28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 третман сваког стања и обољења која се третирају на клиници или одјељењу интерне медицине постоје и примјењују се документовани поступци.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2.5.28.1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третман најчешћих, најризичнијих, најскупљих обољења, или оних где постоји велика варијација између појединих љекара у приступу лијечењу, припремају се и примјењују планови лијечења.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rPr>
          <w:trHeight w:val="1486"/>
        </w:trPr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2.5.28.2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Документовани поступци за обављање дијагностичког прегледа обухватају обезбјеђење пис</w:t>
            </w:r>
            <w:r>
              <w:rPr>
                <w:sz w:val="20"/>
                <w:szCs w:val="20"/>
                <w:lang w:val="sr-Cyrl-CS"/>
              </w:rPr>
              <w:t>ме</w:t>
            </w:r>
            <w:r>
              <w:rPr>
                <w:sz w:val="20"/>
                <w:szCs w:val="20"/>
                <w:lang w:val="sr-Latn-CS"/>
              </w:rPr>
              <w:t>не сагласности пацијента, припрему, провођење дијагностике/терапије и  сачињавање извјештаја.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2.5.29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Резултате испитивања очитава </w:t>
            </w:r>
            <w:r>
              <w:rPr>
                <w:b/>
                <w:bCs/>
                <w:lang w:val="sr-Latn-CS"/>
              </w:rPr>
              <w:lastRenderedPageBreak/>
              <w:t>искључиво љекар-интерниста одговарајуће специјализације.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2.5.30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гдје се користе извори јонизујућег зрачења посједује и примјењује документоване политике и поступке што се односе на заштиту од радијације. Политике и документовани поступци прописују: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shd w:val="clear" w:color="auto" w:fill="FFFF00"/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Примјену безбједносних мјера, дефинисаних законом ,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Именовање </w:t>
            </w:r>
            <w:r>
              <w:rPr>
                <w:sz w:val="20"/>
                <w:szCs w:val="20"/>
                <w:lang w:val="sr-Latn-BA"/>
              </w:rPr>
              <w:t xml:space="preserve">лица задуженог за примјену мјера </w:t>
            </w:r>
            <w:r>
              <w:rPr>
                <w:sz w:val="20"/>
                <w:szCs w:val="20"/>
                <w:lang w:val="sr-Latn-CS"/>
              </w:rPr>
              <w:t>за</w:t>
            </w:r>
            <w:r>
              <w:rPr>
                <w:sz w:val="20"/>
                <w:szCs w:val="20"/>
                <w:lang w:val="sr-Latn-BA"/>
              </w:rPr>
              <w:t>ш</w:t>
            </w:r>
            <w:r>
              <w:rPr>
                <w:sz w:val="20"/>
                <w:szCs w:val="20"/>
                <w:lang w:val="sr-Latn-CS"/>
              </w:rPr>
              <w:t>тите од зра</w:t>
            </w:r>
            <w:r>
              <w:rPr>
                <w:sz w:val="20"/>
                <w:szCs w:val="20"/>
                <w:lang w:val="sr-Latn-BA"/>
              </w:rPr>
              <w:t>ч</w:t>
            </w:r>
            <w:r>
              <w:rPr>
                <w:sz w:val="20"/>
                <w:szCs w:val="20"/>
                <w:lang w:val="sr-Latn-CS"/>
              </w:rPr>
              <w:t>ења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B21E0E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Истицање упозорења о зони контролисаног RTG зрачења,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Смјештање рендген-апарата у означену, контролисану собу у коју приступ имају само овлаштене особе,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Истицање знакова упозорења да пацијенти с уграђеним пејсмејкером,  труднице и дјеца не смију улазити у област RTG зрачења,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Обавезу провјере, прије излагања јонизујућем зрачењу, да ли су пацијенткиње (или жене-пратиоци пацијената) у репродуктивној доби можда у другом стању</w:t>
            </w:r>
            <w:r w:rsidR="00071172"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2.5.30.7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Обавезу праћења изложености особља радијацији. 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Клиника или одјељење интерне медицине гдје се користе извори јонизујућег зрачења укључује све особље које ради у А-зони јонизујућег зрачења у програм личне дозиметрије: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2.5.31.1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Програм личне дозиметрије укључује радиологе, специјализанте радиологије, љекаре опште праксе на раду на радиолошком одјељењу, љекаре </w:t>
            </w:r>
            <w:r>
              <w:rPr>
                <w:sz w:val="20"/>
                <w:szCs w:val="20"/>
                <w:lang w:val="sr-Cyrl-CS"/>
              </w:rPr>
              <w:t>„</w:t>
            </w:r>
            <w:r>
              <w:rPr>
                <w:sz w:val="20"/>
                <w:szCs w:val="20"/>
                <w:lang w:val="sr-Latn-CS"/>
              </w:rPr>
              <w:t>на кружењу“, љекаре других специјалности који асистирају тиму за интервентну радиологију, радиолошке техничаре, медицинске сестре-техничаре запослене на одјељењу и фотолаборанте,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rPr>
          <w:trHeight w:val="745"/>
        </w:trPr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2.5.31.2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Дозиметри се очитавају најмање тромјесечно у за то овлаштеној референтној установи.</w:t>
            </w:r>
            <w:r>
              <w:rPr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Клиника или одјељење интерне </w:t>
            </w:r>
            <w:r>
              <w:rPr>
                <w:b/>
                <w:bCs/>
                <w:lang w:val="sr-Latn-CS"/>
              </w:rPr>
              <w:lastRenderedPageBreak/>
              <w:t>медицине гдје се користе извори јонизујућег зрачења посједује опрему за заштиту од зрачења (покретне параване, оловне кецеље, штитнике за тироидну жлијезду и сл.):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2.5.32.1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B21E0E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располагању су покретни паравани с оловним стаклом SOEDO заштитне моћи мин. 0,5 мм олова,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2.5.32.2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располагању су личне заштитне кецеље, заштитне моћи просјечно 0,5мм олова (напријед 0,75, назад 0,35мм),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2.5.32.3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располагању су лични оковратни штитници за тироидну жлијезду с оловом 0,35мм.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Сви пацијенти који пролазе било коју интервентну радијациону процедуру   информишу се о процедури и обезбјеђује се њихова писмена сагласност:</w:t>
            </w:r>
            <w:r>
              <w:rPr>
                <w:sz w:val="22"/>
                <w:szCs w:val="22"/>
                <w:lang w:val="sr-Latn-CS"/>
              </w:rPr>
              <w:t xml:space="preserve"> 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8F58B6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2.5.33.1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Љекар коме је повјерено да изведе интервентну процедуру, информише пацијента о потенцијалним користима и ризицима од процедуре и то документује у историји болести пацијента,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8F58B6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2.5.33.2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B21E0E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Пацијент потписује да је информисан о могућим ризицима и да је сагласан да прође процедуру најмање 24 </w:t>
            </w:r>
            <w:r>
              <w:rPr>
                <w:sz w:val="20"/>
                <w:szCs w:val="20"/>
                <w:lang w:val="sr-Cyrl-CS"/>
              </w:rPr>
              <w:t>сата</w:t>
            </w:r>
            <w:r>
              <w:rPr>
                <w:sz w:val="20"/>
                <w:szCs w:val="20"/>
                <w:lang w:val="sr-Latn-CS"/>
              </w:rPr>
              <w:t xml:space="preserve"> прије спровођења те процедуре,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8F58B6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 w:rsidP="00B21E0E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Временски рок од 24 сата не односи се на хитна стања, на случајеве поремећене свести, или тешка стања</w:t>
            </w: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2.5.33.3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Style38"/>
              <w:tabs>
                <w:tab w:val="left" w:pos="1118"/>
              </w:tabs>
              <w:snapToGrid w:val="0"/>
              <w:spacing w:line="100" w:lineRule="atLeast"/>
              <w:ind w:firstLine="0"/>
              <w:rPr>
                <w:rStyle w:val="FontStyle93"/>
                <w:sz w:val="20"/>
                <w:szCs w:val="20"/>
                <w:lang w:val="sr-Latn-CS"/>
              </w:rPr>
            </w:pPr>
            <w:r>
              <w:rPr>
                <w:rStyle w:val="FontStyle93"/>
                <w:sz w:val="20"/>
                <w:szCs w:val="20"/>
                <w:lang w:val="sr-Latn-CS"/>
              </w:rPr>
              <w:t>У формулару за давање пристанка јасно је идентификована особа која га је потписала, нарочито када сагласност потписује неко у име пацијента.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Након што је пацијент потписао образац сагласности за процедуру, надлежни/ординирајући љекар потписује да је стекао увид у податке које је пацијент навео у обрасцу.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Љекар-интерниста који изводи интервентну процедуру доноси коначну одлуку о модалитету који омогућава најефикаснију дијагностику/терапију</w:t>
            </w:r>
            <w:r>
              <w:rPr>
                <w:b/>
                <w:bCs/>
                <w:lang w:val="sr-Latn-BA"/>
              </w:rPr>
              <w:t>.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rFonts w:ascii="Arial" w:hAnsi="Arial" w:cs="Arial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2.5.35.1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spacing w:line="100" w:lineRule="atLeast"/>
              <w:rPr>
                <w:sz w:val="20"/>
                <w:szCs w:val="20"/>
                <w:lang w:val="sr-Latn-BA"/>
              </w:rPr>
            </w:pPr>
            <w:r w:rsidRPr="00C314AC">
              <w:rPr>
                <w:sz w:val="20"/>
                <w:szCs w:val="20"/>
              </w:rPr>
              <w:t>Одлука се доноси у консултацији с надлежним/ординирајућим љекаром</w:t>
            </w:r>
            <w:r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rFonts w:ascii="Arial" w:hAnsi="Arial" w:cs="Arial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2.5.36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 и примјењују се документовани поступци за одговор на нежељену реакцију пацијента на контрастна средства: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Pr="008F58B6" w:rsidRDefault="00195795">
            <w:pPr>
              <w:pStyle w:val="a2"/>
              <w:snapToGrid w:val="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2.5.36.1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 записи у којима је евидентирано постојање  алергијских реакција код пацијента или склоност к њима, те патолошких стања која могу довести до нежељених реакција на специфично контрастно средство,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8F58B6">
            <w:pPr>
              <w:jc w:val="center"/>
            </w:pPr>
            <w:r w:rsidRPr="00C27555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2.5.36.2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записима се наводе подаци о евентуалним алергијским реакцијама пацијента, нарочито оним које су уочене током претходних радиолошких процедура урађених на пацијенту и (по могућности) прилаже се медицинска документација пацијента.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8F58B6">
            <w:pPr>
              <w:jc w:val="center"/>
            </w:pPr>
            <w:r w:rsidRPr="00C27555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2.5.37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 документовани поступак за   тражење интервентног кардиолошког прегледа: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2.5.37.1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Надлежни љекар који захтијева/индикује процедуре гдје се користе X-зраци попуњава све неопходне податке на обрасцу захтјева за интервентну кардиолошку процедуру,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2.5.37.2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pStyle w:val="a2"/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Надлежни љекар у обрасцу захтјева наводи упутну дијагнозу, релевантне налазе дијагностике и предлаже модалитет прегледа (ингвинални – радијални приступ и сл.),      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2.5.37.3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071172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обрасцу захтјева за интервентни кардиолошки преглед н</w:t>
            </w:r>
            <w:bookmarkStart w:id="7" w:name="__DdeLink__1094_530639001"/>
            <w:r>
              <w:rPr>
                <w:sz w:val="20"/>
                <w:szCs w:val="20"/>
                <w:lang w:val="sr-Latn-CS"/>
              </w:rPr>
              <w:t>аводе се подаци о евентуалним алергијским реакцијама пацијента, нарочито оним уоченим током претходних радиолошких процедура, урађених на пацијенту</w:t>
            </w:r>
            <w:bookmarkEnd w:id="7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2.5.37.4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обрасцу захтјева за интервентни кардиолошки преглед наводе се подаци о факторима коагулације код пацијента,  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2.5.37.5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8F58B6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обрасцу захтјева за интервентни кардиолошки преглед наводе се подаци о показатељима/ маркерима инфективног стања пацијента (SE, KKS, Fb, CRP...),  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2.5.37.6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8F58B6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обрасцу захтјева за интервентни кардиолошки преглед наводе се подаци о маркерима на поједине хемато-трансмисивне вирусне заразне болести (HIV, HCB, HBV, TPHA...).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2.5.38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Постоји документовани поступак за извјештавање о резултатима </w:t>
            </w:r>
            <w:r>
              <w:rPr>
                <w:b/>
                <w:bCs/>
                <w:lang w:val="sr-Latn-CS"/>
              </w:rPr>
              <w:lastRenderedPageBreak/>
              <w:t>интервентног кардиолошког прегледа.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2.5.38.1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Кардиолог извјештава о резултатима интервентног кардиолошког испитивања одмах – декурзусом, а најкасније унутар 24 сата.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2.5.38.2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Свако патолошко стање које захтијева хитан третман пацијента, саопштава се надлежном/ординирајућем  љекару у најкраћем могућем року.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 w:rsidP="009C1755">
            <w:pPr>
              <w:jc w:val="center"/>
            </w:pPr>
            <w:r w:rsidRPr="00E21173">
              <w:rPr>
                <w:lang w:val="sr-Cyrl-CS"/>
              </w:rPr>
              <w:t>3,4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2.5.39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spacing w:line="100" w:lineRule="atLeast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Постоји документовани поступак за архивирање снимака и налаза пацијената. 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195795" w:rsidTr="00C960B4">
        <w:tc>
          <w:tcPr>
            <w:tcW w:w="1150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2.5.39.1</w:t>
            </w:r>
          </w:p>
        </w:tc>
        <w:tc>
          <w:tcPr>
            <w:tcW w:w="4544" w:type="dxa"/>
            <w:tcBorders>
              <w:left w:val="single" w:sz="2" w:space="0" w:color="000000"/>
              <w:bottom w:val="single" w:sz="2" w:space="0" w:color="000000"/>
            </w:tcBorders>
          </w:tcPr>
          <w:p w:rsidR="00195795" w:rsidRDefault="00195795" w:rsidP="008F58B6">
            <w:pPr>
              <w:snapToGrid w:val="0"/>
              <w:spacing w:line="100" w:lineRule="atLeas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документовани поступак о начину и временском трајању архивирања снимака и налаза пацијената у складу сa закон</w:t>
            </w:r>
            <w:r>
              <w:rPr>
                <w:sz w:val="20"/>
                <w:szCs w:val="20"/>
                <w:lang w:val="sr-Cyrl-CS"/>
              </w:rPr>
              <w:t>ом</w:t>
            </w:r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95795" w:rsidRDefault="00195795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5795" w:rsidRDefault="00195795">
            <w:pPr>
              <w:pStyle w:val="a2"/>
              <w:snapToGrid w:val="0"/>
              <w:rPr>
                <w:lang w:val="sr-Latn-CS"/>
              </w:rPr>
            </w:pPr>
          </w:p>
        </w:tc>
      </w:tr>
    </w:tbl>
    <w:p w:rsidR="00195795" w:rsidRDefault="00195795"/>
    <w:sectPr w:rsidR="00195795" w:rsidSect="005A6D70">
      <w:headerReference w:type="default" r:id="rId9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F8" w:rsidRDefault="004B06F8" w:rsidP="00AB4A66">
      <w:r>
        <w:separator/>
      </w:r>
    </w:p>
  </w:endnote>
  <w:endnote w:type="continuationSeparator" w:id="0">
    <w:p w:rsidR="004B06F8" w:rsidRDefault="004B06F8" w:rsidP="00AB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F8" w:rsidRDefault="004B06F8" w:rsidP="00AB4A66">
      <w:r>
        <w:separator/>
      </w:r>
    </w:p>
  </w:footnote>
  <w:footnote w:type="continuationSeparator" w:id="0">
    <w:p w:rsidR="004B06F8" w:rsidRDefault="004B06F8" w:rsidP="00AB4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1150"/>
      <w:gridCol w:w="4544"/>
      <w:gridCol w:w="781"/>
      <w:gridCol w:w="853"/>
      <w:gridCol w:w="720"/>
      <w:gridCol w:w="1611"/>
    </w:tblGrid>
    <w:tr w:rsidR="00C960B4" w:rsidRPr="00564326">
      <w:trPr>
        <w:tblHeader/>
      </w:trPr>
      <w:tc>
        <w:tcPr>
          <w:tcW w:w="115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54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960B4" w:rsidRPr="00AB4A66" w:rsidRDefault="00C960B4" w:rsidP="009B4954">
          <w:pPr>
            <w:pStyle w:val="a2"/>
            <w:snapToGrid w:val="0"/>
            <w:spacing w:line="100" w:lineRule="atLeast"/>
            <w:rPr>
              <w:b/>
              <w:bCs/>
              <w:lang w:val="sr-Latn-CS"/>
            </w:rPr>
          </w:pPr>
          <w:r w:rsidRPr="00AB4A66">
            <w:rPr>
              <w:b/>
              <w:bCs/>
              <w:lang w:val="sr-Latn-CS"/>
            </w:rPr>
            <w:t>2. Клиничке услуге</w:t>
          </w:r>
        </w:p>
      </w:tc>
      <w:tc>
        <w:tcPr>
          <w:tcW w:w="781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  <w:tc>
        <w:tcPr>
          <w:tcW w:w="85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  <w:tc>
        <w:tcPr>
          <w:tcW w:w="720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1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C960B4" w:rsidRPr="00AB4A66" w:rsidRDefault="00C960B4" w:rsidP="009B4954">
          <w:pPr>
            <w:pStyle w:val="a2"/>
            <w:snapToGrid w:val="0"/>
            <w:rPr>
              <w:lang w:val="sr-Latn-CS"/>
            </w:rPr>
          </w:pPr>
          <w:r w:rsidRPr="00AB4A66">
            <w:rPr>
              <w:sz w:val="22"/>
              <w:szCs w:val="22"/>
              <w:lang w:val="sr-Latn-CS"/>
            </w:rPr>
            <w:t xml:space="preserve">страна </w:t>
          </w:r>
          <w:r w:rsidRPr="00AB4A66">
            <w:rPr>
              <w:sz w:val="22"/>
              <w:szCs w:val="22"/>
              <w:lang w:val="sr-Latn-CS"/>
            </w:rPr>
            <w:fldChar w:fldCharType="begin"/>
          </w:r>
          <w:r w:rsidRPr="00AB4A66">
            <w:rPr>
              <w:sz w:val="22"/>
              <w:szCs w:val="22"/>
              <w:lang w:val="sr-Latn-CS"/>
            </w:rPr>
            <w:instrText xml:space="preserve"> PAGE </w:instrText>
          </w:r>
          <w:r w:rsidRPr="00AB4A66">
            <w:rPr>
              <w:sz w:val="22"/>
              <w:szCs w:val="22"/>
              <w:lang w:val="sr-Latn-CS"/>
            </w:rPr>
            <w:fldChar w:fldCharType="separate"/>
          </w:r>
          <w:r w:rsidR="00C706C6">
            <w:rPr>
              <w:noProof/>
              <w:sz w:val="22"/>
              <w:szCs w:val="22"/>
              <w:lang w:val="sr-Latn-CS"/>
            </w:rPr>
            <w:t>5</w:t>
          </w:r>
          <w:r w:rsidRPr="00AB4A66">
            <w:rPr>
              <w:sz w:val="22"/>
              <w:szCs w:val="22"/>
              <w:lang w:val="sr-Latn-CS"/>
            </w:rPr>
            <w:fldChar w:fldCharType="end"/>
          </w:r>
          <w:r w:rsidRPr="00AB4A66">
            <w:rPr>
              <w:sz w:val="22"/>
              <w:szCs w:val="22"/>
              <w:lang w:val="sr-Latn-CS"/>
            </w:rPr>
            <w:t xml:space="preserve"> од </w:t>
          </w:r>
          <w:r w:rsidRPr="00AB4A66">
            <w:rPr>
              <w:sz w:val="22"/>
              <w:szCs w:val="22"/>
              <w:lang w:val="sr-Latn-CS"/>
            </w:rPr>
            <w:fldChar w:fldCharType="begin"/>
          </w:r>
          <w:r w:rsidRPr="00AB4A66">
            <w:rPr>
              <w:sz w:val="22"/>
              <w:szCs w:val="22"/>
              <w:lang w:val="sr-Latn-CS"/>
            </w:rPr>
            <w:instrText xml:space="preserve"> NUMPAGES \*Arabic </w:instrText>
          </w:r>
          <w:r w:rsidRPr="00AB4A66">
            <w:rPr>
              <w:sz w:val="22"/>
              <w:szCs w:val="22"/>
              <w:lang w:val="sr-Latn-CS"/>
            </w:rPr>
            <w:fldChar w:fldCharType="separate"/>
          </w:r>
          <w:r w:rsidR="00C706C6">
            <w:rPr>
              <w:noProof/>
              <w:sz w:val="22"/>
              <w:szCs w:val="22"/>
              <w:lang w:val="sr-Latn-CS"/>
            </w:rPr>
            <w:t>11</w:t>
          </w:r>
          <w:r w:rsidRPr="00AB4A66">
            <w:rPr>
              <w:sz w:val="22"/>
              <w:szCs w:val="22"/>
              <w:lang w:val="sr-Latn-CS"/>
            </w:rPr>
            <w:fldChar w:fldCharType="end"/>
          </w:r>
        </w:p>
      </w:tc>
    </w:tr>
    <w:tr w:rsidR="00C960B4">
      <w:trPr>
        <w:tblHeader/>
      </w:trPr>
      <w:tc>
        <w:tcPr>
          <w:tcW w:w="1150" w:type="dxa"/>
          <w:tcBorders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544" w:type="dxa"/>
          <w:tcBorders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spacing w:line="100" w:lineRule="atLeast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 xml:space="preserve">2.5 ИНТЕРНИСТИЧКЕ СЛУЖБЕ - ОПШТЕИНТЕРНИСТИЧКИ ДИО </w:t>
          </w:r>
        </w:p>
      </w:tc>
      <w:tc>
        <w:tcPr>
          <w:tcW w:w="781" w:type="dxa"/>
          <w:tcBorders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  <w:tc>
        <w:tcPr>
          <w:tcW w:w="853" w:type="dxa"/>
          <w:tcBorders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  <w:tc>
        <w:tcPr>
          <w:tcW w:w="720" w:type="dxa"/>
          <w:tcBorders>
            <w:left w:val="single" w:sz="2" w:space="0" w:color="000000"/>
            <w:bottom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1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C960B4" w:rsidRDefault="00C960B4" w:rsidP="009B4954">
          <w:pPr>
            <w:pStyle w:val="a2"/>
            <w:snapToGrid w:val="0"/>
            <w:rPr>
              <w:lang w:val="sr-Latn-CS"/>
            </w:rPr>
          </w:pPr>
        </w:p>
      </w:tc>
    </w:tr>
  </w:tbl>
  <w:p w:rsidR="00C960B4" w:rsidRDefault="00C960B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4326"/>
    <w:rsid w:val="00071172"/>
    <w:rsid w:val="0016135A"/>
    <w:rsid w:val="00195795"/>
    <w:rsid w:val="004B06F8"/>
    <w:rsid w:val="005430AA"/>
    <w:rsid w:val="00564326"/>
    <w:rsid w:val="005752BB"/>
    <w:rsid w:val="005A6D70"/>
    <w:rsid w:val="00625D95"/>
    <w:rsid w:val="008F58B6"/>
    <w:rsid w:val="009B4954"/>
    <w:rsid w:val="009C1755"/>
    <w:rsid w:val="00A24634"/>
    <w:rsid w:val="00A53853"/>
    <w:rsid w:val="00AB4A66"/>
    <w:rsid w:val="00B21E0E"/>
    <w:rsid w:val="00C27555"/>
    <w:rsid w:val="00C314AC"/>
    <w:rsid w:val="00C706C6"/>
    <w:rsid w:val="00C960B4"/>
    <w:rsid w:val="00E21173"/>
    <w:rsid w:val="00E9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D70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5A6D70"/>
  </w:style>
  <w:style w:type="character" w:customStyle="1" w:styleId="WW-Absatz-Standardschriftart">
    <w:name w:val="WW-Absatz-Standardschriftart"/>
    <w:uiPriority w:val="99"/>
    <w:rsid w:val="005A6D70"/>
  </w:style>
  <w:style w:type="character" w:customStyle="1" w:styleId="WW-DefaultParagraphFont">
    <w:name w:val="WW-Default Paragraph Font"/>
    <w:uiPriority w:val="99"/>
    <w:rsid w:val="005A6D70"/>
  </w:style>
  <w:style w:type="character" w:customStyle="1" w:styleId="WW-DefaultParagraphFont1">
    <w:name w:val="WW-Default Paragraph Font1"/>
    <w:uiPriority w:val="99"/>
    <w:rsid w:val="005A6D70"/>
  </w:style>
  <w:style w:type="character" w:customStyle="1" w:styleId="FontStyle93">
    <w:name w:val="Font Style93"/>
    <w:uiPriority w:val="99"/>
    <w:rsid w:val="005A6D70"/>
    <w:rPr>
      <w:rFonts w:eastAsia="Times New Roman"/>
      <w:sz w:val="18"/>
      <w:szCs w:val="18"/>
      <w:lang w:eastAsia="hi-IN" w:bidi="hi-IN"/>
    </w:rPr>
  </w:style>
  <w:style w:type="paragraph" w:customStyle="1" w:styleId="a">
    <w:name w:val="Заголовок"/>
    <w:basedOn w:val="Normal"/>
    <w:next w:val="BodyText"/>
    <w:uiPriority w:val="99"/>
    <w:rsid w:val="005A6D70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A6D70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B4F1B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5A6D70"/>
  </w:style>
  <w:style w:type="paragraph" w:customStyle="1" w:styleId="a0">
    <w:name w:val="Название"/>
    <w:basedOn w:val="Normal"/>
    <w:uiPriority w:val="99"/>
    <w:rsid w:val="005A6D70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5A6D70"/>
    <w:pPr>
      <w:suppressLineNumbers/>
    </w:pPr>
  </w:style>
  <w:style w:type="paragraph" w:styleId="Title">
    <w:name w:val="Title"/>
    <w:basedOn w:val="a"/>
    <w:next w:val="Subtitle"/>
    <w:link w:val="TitleChar"/>
    <w:uiPriority w:val="99"/>
    <w:qFormat/>
    <w:rsid w:val="005A6D70"/>
  </w:style>
  <w:style w:type="character" w:customStyle="1" w:styleId="TitleChar">
    <w:name w:val="Title Char"/>
    <w:link w:val="Title"/>
    <w:uiPriority w:val="10"/>
    <w:rsid w:val="00FB4F1B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99"/>
    <w:qFormat/>
    <w:rsid w:val="005A6D70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FB4F1B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5A6D70"/>
    <w:pPr>
      <w:suppressLineNumbers/>
    </w:pPr>
  </w:style>
  <w:style w:type="paragraph" w:customStyle="1" w:styleId="a3">
    <w:name w:val="Заголовок таблицы"/>
    <w:basedOn w:val="a2"/>
    <w:uiPriority w:val="99"/>
    <w:rsid w:val="005A6D70"/>
    <w:pPr>
      <w:jc w:val="center"/>
    </w:pPr>
    <w:rPr>
      <w:b/>
      <w:bCs/>
    </w:rPr>
  </w:style>
  <w:style w:type="paragraph" w:customStyle="1" w:styleId="Style38">
    <w:name w:val="Style38"/>
    <w:basedOn w:val="Normal"/>
    <w:uiPriority w:val="99"/>
    <w:rsid w:val="005A6D70"/>
    <w:pPr>
      <w:widowControl/>
      <w:suppressAutoHyphens w:val="0"/>
      <w:autoSpaceDE w:val="0"/>
      <w:spacing w:line="230" w:lineRule="exact"/>
      <w:ind w:hanging="1128"/>
    </w:pPr>
  </w:style>
  <w:style w:type="paragraph" w:styleId="BalloonText">
    <w:name w:val="Balloon Text"/>
    <w:basedOn w:val="Normal"/>
    <w:link w:val="BalloonTextChar"/>
    <w:uiPriority w:val="99"/>
    <w:semiHidden/>
    <w:rsid w:val="005A6D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B4F1B"/>
    <w:rPr>
      <w:rFonts w:cs="Mangal"/>
      <w:kern w:val="1"/>
      <w:sz w:val="0"/>
      <w:szCs w:val="0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AB4A66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AB4A66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AB4A66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AB4A66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799E4-A824-4780-A0CF-4EFA08B1C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2555</Words>
  <Characters>14564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17085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Radomir Bošković</dc:creator>
  <cp:keywords/>
  <dc:description/>
  <cp:lastModifiedBy>Djina</cp:lastModifiedBy>
  <cp:revision>7</cp:revision>
  <dcterms:created xsi:type="dcterms:W3CDTF">2012-02-16T13:39:00Z</dcterms:created>
  <dcterms:modified xsi:type="dcterms:W3CDTF">2012-09-03T10:58:00Z</dcterms:modified>
</cp:coreProperties>
</file>