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8A0" w:rsidRDefault="00A528A0">
      <w:pPr>
        <w:rPr>
          <w:lang w:val="sr-Latn-CS"/>
        </w:rPr>
      </w:pPr>
    </w:p>
    <w:p w:rsidR="00A528A0" w:rsidRPr="00A53853" w:rsidRDefault="00A528A0" w:rsidP="00A528A0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A528A0" w:rsidRPr="00A53853" w:rsidRDefault="00A528A0" w:rsidP="00A528A0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A528A0" w:rsidRPr="00A53853" w:rsidTr="00A528A0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581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A528A0" w:rsidTr="00A528A0">
        <w:trPr>
          <w:tblHeader/>
        </w:trPr>
        <w:tc>
          <w:tcPr>
            <w:tcW w:w="969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A528A0" w:rsidRPr="00A53853" w:rsidRDefault="00A528A0" w:rsidP="00A528A0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A528A0" w:rsidTr="00A528A0">
        <w:tc>
          <w:tcPr>
            <w:tcW w:w="969" w:type="dxa"/>
            <w:shd w:val="clear" w:color="auto" w:fill="auto"/>
          </w:tcPr>
          <w:p w:rsidR="00A528A0" w:rsidRPr="00A53853" w:rsidRDefault="00A528A0" w:rsidP="00A528A0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A528A0" w:rsidRPr="00A53853" w:rsidRDefault="00A528A0" w:rsidP="00A528A0">
            <w:pPr>
              <w:pStyle w:val="a3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A528A0" w:rsidRPr="00A53853" w:rsidRDefault="00A528A0" w:rsidP="00A528A0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A528A0" w:rsidRPr="00A53853" w:rsidRDefault="00A528A0" w:rsidP="00A528A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528A0" w:rsidRPr="00A53853" w:rsidRDefault="00A528A0" w:rsidP="00A528A0">
      <w:pPr>
        <w:rPr>
          <w:lang w:val="sr-Cyrl-CS"/>
        </w:rPr>
      </w:pPr>
    </w:p>
    <w:p w:rsidR="00A528A0" w:rsidRPr="00A53853" w:rsidRDefault="00A528A0" w:rsidP="00A528A0">
      <w:pPr>
        <w:snapToGrid w:val="0"/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</w:p>
    <w:p w:rsidR="00A528A0" w:rsidRPr="00A53853" w:rsidRDefault="00A528A0" w:rsidP="00A528A0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</w:p>
    <w:p w:rsidR="00A528A0" w:rsidRPr="00A53853" w:rsidRDefault="00A528A0" w:rsidP="00A528A0">
      <w:pPr>
        <w:ind w:left="851" w:hanging="851"/>
        <w:rPr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</w:p>
    <w:p w:rsidR="00A528A0" w:rsidRPr="00A53853" w:rsidRDefault="00A528A0" w:rsidP="00A528A0">
      <w:pPr>
        <w:ind w:left="851" w:hanging="851"/>
        <w:rPr>
          <w:sz w:val="20"/>
          <w:szCs w:val="20"/>
          <w:lang w:val="sr-Cyrl-CS"/>
        </w:rPr>
      </w:pPr>
    </w:p>
    <w:p w:rsidR="00A528A0" w:rsidRPr="00A53853" w:rsidRDefault="00A528A0" w:rsidP="00A528A0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A528A0" w:rsidRDefault="00A528A0" w:rsidP="00A528A0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69"/>
      </w:tblGrid>
      <w:tr w:rsidR="00FF41A5" w:rsidTr="00A528A0">
        <w:trPr>
          <w:tblHeader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 w:rsidR="00FF41A5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 w:rsidP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FF41A5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FF41A5" w:rsidTr="00A528A0">
        <w:trPr>
          <w:tblHeader/>
        </w:trPr>
        <w:tc>
          <w:tcPr>
            <w:tcW w:w="9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7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FF41A5" w:rsidRDefault="00FF41A5">
            <w:pPr>
              <w:pStyle w:val="a3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</w:t>
            </w:r>
          </w:p>
          <w:p w:rsidR="00FF41A5" w:rsidRDefault="00FF41A5">
            <w:pPr>
              <w:rPr>
                <w:b/>
                <w:bCs/>
                <w:lang w:val="sr-Latn-CS"/>
              </w:rPr>
            </w:pP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Начелник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радиологије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радиологије</w:t>
            </w:r>
            <w:r w:rsidR="00953A8A">
              <w:rPr>
                <w:rFonts w:cs="Arial"/>
                <w:b/>
                <w:bCs/>
                <w:lang w:val="sr-Latn-CS"/>
              </w:rPr>
              <w:t>/</w:t>
            </w:r>
            <w:r>
              <w:rPr>
                <w:rFonts w:cs="Arial"/>
                <w:b/>
                <w:bCs/>
                <w:lang w:val="sr-Latn-CS"/>
              </w:rPr>
              <w:t>рендген</w:t>
            </w:r>
            <w:r w:rsidR="00953A8A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дијагностике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bookmarkStart w:id="0" w:name="__DdeLink__64500_936510434"/>
            <w:r>
              <w:rPr>
                <w:lang w:val="sr-Latn-CS"/>
              </w:rPr>
              <w:t>1-4</w:t>
            </w:r>
            <w:bookmarkEnd w:id="0"/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" w:name="__DdeLink__27555_146650650"/>
            <w:r>
              <w:rPr>
                <w:b/>
                <w:bCs/>
                <w:lang w:val="sr-Latn-CS"/>
              </w:rPr>
              <w:t>2.13.2</w:t>
            </w:r>
            <w:bookmarkEnd w:id="1"/>
          </w:p>
          <w:p w:rsidR="00FF41A5" w:rsidRDefault="00FF41A5">
            <w:pPr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bookmarkStart w:id="2" w:name="__DdeLink__18548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2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изјаву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јавности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повезана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5F390C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  <w:r>
              <w:rPr>
                <w:lang w:val="sr-Latn-CS"/>
              </w:rPr>
              <w:t xml:space="preserve"> 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" w:name="__DdeLink__27559_146650650"/>
            <w:r>
              <w:rPr>
                <w:sz w:val="20"/>
                <w:szCs w:val="20"/>
                <w:lang w:val="sr-Latn-CS"/>
              </w:rPr>
              <w:t>2.13.2.1</w:t>
            </w:r>
            <w:bookmarkEnd w:id="3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Цјелокупно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особље,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радиологији, упознато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изјавом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мисији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визији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вриједностима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5F390C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bookmarkStart w:id="4" w:name="__DdeLink__18556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4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ажуран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списак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обољења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" w:name="__DdeLink__27561_1466506501"/>
            <w:r>
              <w:rPr>
                <w:sz w:val="20"/>
                <w:szCs w:val="20"/>
                <w:lang w:val="sr-Latn-CS"/>
              </w:rPr>
              <w:t>2.13.4.1</w:t>
            </w:r>
            <w:bookmarkEnd w:id="5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назначено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третира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2.13.4.2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хитним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2.13.4.3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алгоритам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збрињавања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годишњи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годишњег</w:t>
            </w:r>
            <w:r w:rsidR="00FF41A5">
              <w:rPr>
                <w:sz w:val="20"/>
                <w:szCs w:val="20"/>
                <w:lang w:val="sr-Latn-CS"/>
              </w:rPr>
              <w:t>-</w:t>
            </w:r>
            <w:r>
              <w:rPr>
                <w:sz w:val="20"/>
                <w:szCs w:val="20"/>
                <w:lang w:val="sr-Latn-CS"/>
              </w:rPr>
              <w:t>мјесечног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пословања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просљеђују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пословодству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2.13.5.3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уочених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недостатака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ревидирају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lang w:val="sr-Latn-CS"/>
              </w:rPr>
            </w:pPr>
            <w:bookmarkStart w:id="6" w:name="__DdeLink__18550_1722220510"/>
            <w:r>
              <w:rPr>
                <w:rFonts w:cs="Arial"/>
                <w:b/>
                <w:bCs/>
                <w:lang w:val="sr-Latn-CS"/>
              </w:rPr>
              <w:t>Радиологиј</w:t>
            </w:r>
            <w:bookmarkEnd w:id="6"/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докумен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товала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7" w:name="__DdeLink__18560_1722220510"/>
            <w:r>
              <w:rPr>
                <w:sz w:val="20"/>
                <w:szCs w:val="20"/>
                <w:lang w:val="sr-Latn-CS"/>
              </w:rPr>
              <w:t>2.13.6.1</w:t>
            </w:r>
            <w:bookmarkEnd w:id="7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Start w:id="8" w:name="__DdeLink__27557_146650650"/>
            <w:r>
              <w:rPr>
                <w:sz w:val="20"/>
                <w:szCs w:val="20"/>
                <w:lang w:val="sr-Latn-CS"/>
              </w:rPr>
              <w:t>сви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End w:id="8"/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807594">
              <w:rPr>
                <w:sz w:val="20"/>
                <w:szCs w:val="20"/>
                <w:lang w:val="sr-Latn-CS"/>
              </w:rPr>
              <w:t>образова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2.13.6.2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bookmarkStart w:id="9" w:name="_GoBack"/>
            <w:bookmarkEnd w:id="9"/>
            <w:r>
              <w:rPr>
                <w:sz w:val="20"/>
                <w:szCs w:val="20"/>
                <w:lang w:val="sr-Latn-CS"/>
              </w:rPr>
              <w:t>њим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2.13.6.3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службу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дежурства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приправности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учесницима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припадајућим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0" w:name="__DdeLink__18562_1722220510"/>
            <w:r>
              <w:rPr>
                <w:sz w:val="20"/>
                <w:szCs w:val="20"/>
                <w:lang w:val="sr-Latn-CS"/>
              </w:rPr>
              <w:t>2.13.7.1</w:t>
            </w:r>
            <w:bookmarkEnd w:id="10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књигу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примопредаје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коментаре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протеклом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евиденцију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евентуалним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ванредним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ситуацијама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застоју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FF41A5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снимака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законским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директивама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BB4CF9">
        <w:trPr>
          <w:trHeight w:val="2101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кориштењу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1" w:name="__DdeLink__18564_1722220510"/>
            <w:r>
              <w:rPr>
                <w:b/>
                <w:bCs/>
                <w:lang w:val="sr-Latn-CS"/>
              </w:rPr>
              <w:lastRenderedPageBreak/>
              <w:t>2.13.10</w:t>
            </w:r>
            <w:bookmarkEnd w:id="11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обучено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чему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2.13.10.1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учествује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компетенција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2" w:name="__DdeLink__18566_1722220510"/>
            <w:r>
              <w:rPr>
                <w:b/>
                <w:bCs/>
                <w:lang w:val="sr-Latn-CS"/>
              </w:rPr>
              <w:t>2.13.11</w:t>
            </w:r>
            <w:bookmarkEnd w:id="12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посједује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услуга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доброј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професионалној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пракси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нормативима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2.13.11.1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FF41A5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" w:name="__DdeLink__18568_1722220510"/>
            <w:r>
              <w:rPr>
                <w:sz w:val="20"/>
                <w:szCs w:val="20"/>
                <w:lang w:val="sr-Latn-CS"/>
              </w:rPr>
              <w:t>2.13.12.2</w:t>
            </w:r>
            <w:bookmarkEnd w:id="13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</w:t>
            </w:r>
            <w:r w:rsidR="00BB4CF9">
              <w:rPr>
                <w:sz w:val="20"/>
                <w:szCs w:val="20"/>
                <w:lang w:val="sr-Latn-CS"/>
              </w:rPr>
              <w:t>a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2.13.12.7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BB4CF9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</w:t>
            </w:r>
            <w:r w:rsidR="00A528A0"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путокази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смјерова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кретања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пожарних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путева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санитарних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просторија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називи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одјељења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упозорења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друге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ознаке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буду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јасно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видљиве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2.13.13.1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FF41A5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2.13. 14.2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местима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2.13. 14.3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радиологији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C6788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3-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Pr="00BB4CF9" w:rsidRDefault="00BB4CF9">
            <w:pPr>
              <w:snapToGrid w:val="0"/>
              <w:rPr>
                <w:lang w:val="sr-Cyrl-CS"/>
              </w:rPr>
            </w:pPr>
            <w:r>
              <w:rPr>
                <w:lang w:val="sr-Cyrl-CS"/>
              </w:rPr>
              <w:t xml:space="preserve">Ако се ради </w:t>
            </w:r>
            <w:proofErr w:type="spellStart"/>
            <w:r>
              <w:rPr>
                <w:lang w:val="sr-Cyrl-CS"/>
              </w:rPr>
              <w:t>ангиографија</w:t>
            </w:r>
            <w:proofErr w:type="spellEnd"/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FF41A5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" w:name="__DdeLink__27623_146650650"/>
            <w:r>
              <w:rPr>
                <w:sz w:val="20"/>
                <w:szCs w:val="20"/>
                <w:lang w:val="sr-Latn-CS"/>
              </w:rPr>
              <w:t>2.13.15.5</w:t>
            </w:r>
            <w:bookmarkEnd w:id="14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2.13.15.7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провођења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bookmarkStart w:id="15" w:name="__DdeLink__64502_936510434"/>
            <w:r>
              <w:rPr>
                <w:lang w:val="sr-Latn-CS"/>
              </w:rPr>
              <w:t>3,4</w:t>
            </w:r>
            <w:bookmarkEnd w:id="15"/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животне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средине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2.13.17.3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сигурности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механиз</w:t>
            </w:r>
            <w:proofErr w:type="spellEnd"/>
            <w:r w:rsidR="00BB4CF9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ме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препознавање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неусаглашености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проблема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FF41A5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спровођење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06F3B">
              <w:rPr>
                <w:sz w:val="20"/>
                <w:szCs w:val="20"/>
                <w:lang w:val="sr-Cyrl-BA"/>
              </w:rPr>
              <w:t>корективних мјера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ефеката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проведеним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2.13.19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анализира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дефини</w:t>
            </w:r>
            <w:proofErr w:type="spellEnd"/>
            <w:r w:rsidR="00BB4CF9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сане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томе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Агенцију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сертификацију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акредитацију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Републике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Српске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BB4CF9">
        <w:trPr>
          <w:trHeight w:val="1374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2.13.19.1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показатеља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пројектима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ревизије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унапређења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bookmarkStart w:id="16" w:name="__DdeLink__18574_1722220510"/>
            <w:r>
              <w:rPr>
                <w:b/>
                <w:bCs/>
                <w:lang w:val="sr-Latn-CS"/>
              </w:rPr>
              <w:lastRenderedPageBreak/>
              <w:t>2.13.20</w:t>
            </w:r>
            <w:bookmarkEnd w:id="16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извјештава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BB4CF9">
              <w:rPr>
                <w:b/>
                <w:bCs/>
                <w:lang w:val="sr-Cyrl-CS"/>
              </w:rPr>
              <w:t xml:space="preserve">,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2.13.21.1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особ</w:t>
            </w:r>
            <w:r>
              <w:rPr>
                <w:sz w:val="20"/>
                <w:szCs w:val="20"/>
                <w:lang w:val="sr-Latn-CS"/>
              </w:rPr>
              <w:t>ље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законску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регулативу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тиче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укључе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пацијената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" w:name="__DdeLink__18576_1722220510"/>
            <w:r>
              <w:rPr>
                <w:sz w:val="20"/>
                <w:szCs w:val="20"/>
                <w:lang w:val="sr-Latn-CS"/>
              </w:rPr>
              <w:t>2.13.22.1</w:t>
            </w:r>
            <w:bookmarkEnd w:id="17"/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здравствених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радника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ук</w:t>
            </w:r>
            <w:r>
              <w:rPr>
                <w:sz w:val="20"/>
                <w:szCs w:val="20"/>
                <w:lang w:val="sr-Latn-CS"/>
              </w:rPr>
              <w:t>ључена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улога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информиса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породица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Здравствени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радници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информишу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типу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дијагностике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начину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компликацијама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потпуну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информацију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дијагностичкој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процедури</w:t>
            </w:r>
            <w:r w:rsidR="00FF41A5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TableContents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2.13.22.4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BB4CF9" w:rsidP="00BB4CF9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Процје</w:t>
            </w:r>
            <w:r w:rsidR="00A528A0">
              <w:rPr>
                <w:sz w:val="20"/>
                <w:szCs w:val="20"/>
                <w:lang w:val="sr-Latn-CS"/>
              </w:rPr>
              <w:t>њује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разумијева</w:t>
            </w:r>
            <w:r w:rsidR="00A528A0"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</w:t>
            </w:r>
            <w:r w:rsidR="00A528A0">
              <w:rPr>
                <w:sz w:val="20"/>
                <w:szCs w:val="20"/>
                <w:lang w:val="sr-Latn-CS"/>
              </w:rPr>
              <w:t>љеног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од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стране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>/</w:t>
            </w:r>
            <w:r w:rsidR="00A528A0">
              <w:rPr>
                <w:sz w:val="20"/>
                <w:szCs w:val="20"/>
                <w:lang w:val="sr-Latn-CS"/>
              </w:rPr>
              <w:t>породице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путем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посматра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траже</w:t>
            </w:r>
            <w:r w:rsidR="00A528A0"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повратних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A528A0">
              <w:rPr>
                <w:sz w:val="20"/>
                <w:szCs w:val="20"/>
                <w:lang w:val="sr-Latn-CS"/>
              </w:rPr>
              <w:t>информација</w:t>
            </w:r>
            <w:r w:rsidR="00FF41A5">
              <w:rPr>
                <w:sz w:val="20"/>
                <w:szCs w:val="20"/>
                <w:lang w:val="sr-Latn-CS"/>
              </w:rPr>
              <w:t xml:space="preserve"> (</w:t>
            </w:r>
            <w:r w:rsidR="00A528A0">
              <w:rPr>
                <w:sz w:val="20"/>
                <w:szCs w:val="20"/>
                <w:lang w:val="sr-Latn-CS"/>
              </w:rPr>
              <w:t>усмено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A528A0">
              <w:rPr>
                <w:sz w:val="20"/>
                <w:szCs w:val="20"/>
                <w:lang w:val="sr-Latn-CS"/>
              </w:rPr>
              <w:t>демонстрација</w:t>
            </w:r>
            <w:r w:rsidR="00FF41A5">
              <w:rPr>
                <w:sz w:val="20"/>
                <w:szCs w:val="20"/>
                <w:lang w:val="sr-Latn-CS"/>
              </w:rPr>
              <w:t xml:space="preserve">).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добија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писмену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сагласности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фотографиса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нарочито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фотографише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Информисани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пристанак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потписује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његов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заступник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прије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него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што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изведе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било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proofErr w:type="spellStart"/>
            <w:r>
              <w:rPr>
                <w:b/>
                <w:bCs/>
                <w:lang w:val="sr-Latn-CS"/>
              </w:rPr>
              <w:t>инвазивна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дијагностичка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терапеутска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процедура</w:t>
            </w:r>
            <w:r w:rsidR="00FF41A5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A528A0">
            <w:pPr>
              <w:pStyle w:val="TableContents"/>
              <w:snapToGrid w:val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Изузев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 w:rsidR="00BB4CF9">
              <w:rPr>
                <w:rStyle w:val="FontStyle93"/>
                <w:sz w:val="20"/>
                <w:lang w:val="sr-Latn-CS"/>
              </w:rPr>
              <w:t>пита</w:t>
            </w:r>
            <w:r>
              <w:rPr>
                <w:rStyle w:val="FontStyle93"/>
                <w:sz w:val="20"/>
                <w:lang w:val="sr-Latn-CS"/>
              </w:rPr>
              <w:t>њу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тешка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траума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или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хитан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случај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љекар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сагласно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закону</w:t>
            </w:r>
            <w:r w:rsidR="00FF41A5">
              <w:rPr>
                <w:rStyle w:val="FontStyle93"/>
                <w:sz w:val="20"/>
                <w:lang w:val="sr-Latn-CS"/>
              </w:rPr>
              <w:t xml:space="preserve">,  </w:t>
            </w:r>
            <w:r>
              <w:rPr>
                <w:rStyle w:val="FontStyle93"/>
                <w:sz w:val="20"/>
                <w:lang w:val="sr-Latn-CS"/>
              </w:rPr>
              <w:t>има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право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интервенише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без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FF41A5">
              <w:rPr>
                <w:rStyle w:val="FontStyle93"/>
                <w:sz w:val="20"/>
                <w:lang w:val="sr-Latn-CS"/>
              </w:rPr>
              <w:t>.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формулару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 w:rsidR="00BB4CF9">
              <w:rPr>
                <w:rStyle w:val="FontStyle93"/>
                <w:sz w:val="20"/>
                <w:lang w:val="sr-Latn-CS"/>
              </w:rPr>
              <w:t>дава</w:t>
            </w:r>
            <w:r>
              <w:rPr>
                <w:rStyle w:val="FontStyle93"/>
                <w:sz w:val="20"/>
                <w:lang w:val="sr-Latn-CS"/>
              </w:rPr>
              <w:t>ње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јасно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идентификована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особа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која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га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потписала</w:t>
            </w:r>
            <w:r w:rsidR="00FF41A5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нарочито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сагласност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потписује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неко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име</w:t>
            </w:r>
            <w:r w:rsidR="00FF41A5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FF41A5">
              <w:rPr>
                <w:rStyle w:val="FontStyle93"/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сваког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обоље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BB4CF9">
              <w:rPr>
                <w:b/>
                <w:bCs/>
                <w:lang w:val="sr-Latn-CS"/>
              </w:rPr>
              <w:t>примје</w:t>
            </w:r>
            <w:r>
              <w:rPr>
                <w:b/>
                <w:bCs/>
                <w:lang w:val="sr-Latn-CS"/>
              </w:rPr>
              <w:t>њују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поступци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2.13.25.1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BB4CF9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најчешћих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најризичнијих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 w:rsidR="00BB4CF9">
              <w:rPr>
                <w:sz w:val="20"/>
                <w:szCs w:val="20"/>
                <w:lang w:val="sr-Latn-CS"/>
              </w:rPr>
              <w:t>најскуп</w:t>
            </w:r>
            <w:r>
              <w:rPr>
                <w:sz w:val="20"/>
                <w:szCs w:val="20"/>
                <w:lang w:val="sr-Latn-CS"/>
              </w:rPr>
              <w:t>љих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lastRenderedPageBreak/>
              <w:t>обо</w:t>
            </w:r>
            <w:r w:rsidR="00BB4CF9">
              <w:rPr>
                <w:sz w:val="20"/>
                <w:szCs w:val="20"/>
                <w:lang w:val="sr-Cyrl-CS"/>
              </w:rPr>
              <w:t>љ</w:t>
            </w:r>
            <w:proofErr w:type="spellStart"/>
            <w:r w:rsidR="00BB4CF9">
              <w:rPr>
                <w:sz w:val="20"/>
                <w:szCs w:val="20"/>
                <w:lang w:val="sr-Latn-CS"/>
              </w:rPr>
              <w:t>е</w:t>
            </w:r>
            <w:r>
              <w:rPr>
                <w:sz w:val="20"/>
                <w:szCs w:val="20"/>
                <w:lang w:val="sr-Latn-CS"/>
              </w:rPr>
              <w:t>ња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велика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варијација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између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појединих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приступу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лијече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припремају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примје</w:t>
            </w:r>
            <w:r>
              <w:rPr>
                <w:sz w:val="20"/>
                <w:szCs w:val="20"/>
                <w:lang w:val="sr-Latn-CS"/>
              </w:rPr>
              <w:t>њују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BB4CF9">
              <w:rPr>
                <w:sz w:val="20"/>
                <w:szCs w:val="20"/>
                <w:lang w:val="sr-Latn-CS"/>
              </w:rPr>
              <w:t>лијече</w:t>
            </w:r>
            <w:r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2.13.26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BB4CF9">
              <w:rPr>
                <w:rFonts w:cs="Arial"/>
                <w:b/>
                <w:bCs/>
                <w:lang w:val="sr-Latn-CS"/>
              </w:rPr>
              <w:t>обавља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BB4CF9">
              <w:rPr>
                <w:rFonts w:cs="Arial"/>
                <w:b/>
                <w:bCs/>
                <w:lang w:val="sr-Latn-CS"/>
              </w:rPr>
              <w:t>с</w:t>
            </w:r>
            <w:r>
              <w:rPr>
                <w:rFonts w:cs="Arial"/>
                <w:b/>
                <w:bCs/>
                <w:lang w:val="sr-Latn-CS"/>
              </w:rPr>
              <w:t>љедећих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дијагностичких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Pr="00BB4CF9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 w:rsidRPr="00BB4CF9">
              <w:rPr>
                <w:sz w:val="20"/>
                <w:szCs w:val="20"/>
                <w:lang w:val="sr-Latn-CS"/>
              </w:rPr>
              <w:t>2.13.26.1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Pr="00BB4CF9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 w:rsidRPr="00BB4CF9">
              <w:rPr>
                <w:sz w:val="20"/>
                <w:szCs w:val="20"/>
                <w:lang w:val="sr-Latn-CS"/>
              </w:rPr>
              <w:t>Радиоскопија</w:t>
            </w:r>
            <w:r w:rsidR="00FF41A5" w:rsidRPr="00BB4C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BB4CF9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 w:rsidRPr="00BB4CF9"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Pr="00BB4CF9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 w:rsidRPr="00BB4CF9"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Ангиографија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64C6E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Компјутеризована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томографија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2.13.26.4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Магнетна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резонанца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64C6E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знакови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упозоре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пејсмејкером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смију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улазити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контролисану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област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простора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магнетне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резонанце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Уколико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потврди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присуство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некомпатибилног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имплантата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металног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фрагмента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преглед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апарату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магнетну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резонанцу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отказује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образложе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формулар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документује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постоја</w:t>
            </w:r>
            <w:r>
              <w:rPr>
                <w:b/>
                <w:bCs/>
                <w:lang w:val="sr-Latn-CS"/>
              </w:rPr>
              <w:t>ње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алергијских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реакција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склоност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к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њима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патолошка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могу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довести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неже</w:t>
            </w:r>
            <w:r>
              <w:rPr>
                <w:b/>
                <w:bCs/>
                <w:lang w:val="sr-Latn-CS"/>
              </w:rPr>
              <w:t>љених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реакција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специфично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контрастно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средство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2.13.29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интервентних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радиолошких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ук</w:t>
            </w:r>
            <w:r>
              <w:rPr>
                <w:rFonts w:cs="Arial"/>
                <w:b/>
                <w:bCs/>
                <w:lang w:val="sr-Latn-CS"/>
              </w:rPr>
              <w:t>ључују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најма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сљедеће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типом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током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очекиваним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интервентне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радиолошке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FF41A5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потписује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могућим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ризицима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FF41A5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након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чега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радиолошки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/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радиолог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потписује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стекао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увид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податке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пацијент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навео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обрасцу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 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2.13.29.3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Провјеравају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фактори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коагулације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извође</w:t>
            </w:r>
            <w:r>
              <w:rPr>
                <w:sz w:val="20"/>
                <w:szCs w:val="20"/>
                <w:lang w:val="sr-Latn-CS"/>
              </w:rPr>
              <w:t>ња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радиолошких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интервентних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2.13.30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Радиолог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коме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повјерено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изведе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било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интервентну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документује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дета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процедури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историји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болести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пацијента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2.13.30.1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Радиолог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ординирајући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упутници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дијагнозу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предложио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модалитет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прегледа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2.13.30.2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Радиолог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доноси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коначну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одлуку</w:t>
            </w:r>
            <w:r w:rsidR="00FF41A5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консултацији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ординирајућим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љекаром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избору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модалитета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омогућава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најефикасније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поставља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дијагнозе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C36EF9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</w:t>
            </w:r>
            <w:r w:rsidR="00FF41A5">
              <w:rPr>
                <w:lang w:val="sr-Latn-CS"/>
              </w:rPr>
              <w:t>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радиолошке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снимке</w:t>
            </w:r>
            <w:r w:rsidR="006E1530">
              <w:rPr>
                <w:b/>
                <w:bCs/>
                <w:lang w:val="sr-Cyrl-CS"/>
              </w:rPr>
              <w:t>,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начи</w:t>
            </w:r>
            <w:r>
              <w:rPr>
                <w:b/>
                <w:bCs/>
                <w:lang w:val="sr-Latn-CS"/>
              </w:rPr>
              <w:t>њени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радиологији</w:t>
            </w:r>
            <w:r w:rsidR="006E1530">
              <w:rPr>
                <w:b/>
                <w:bCs/>
                <w:lang w:val="sr-Cyrl-CS"/>
              </w:rPr>
              <w:t>,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очитава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специјалиста</w:t>
            </w:r>
            <w:r w:rsidR="006E1530"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радиологије</w:t>
            </w:r>
            <w:r w:rsidR="00B42691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рендген</w:t>
            </w:r>
            <w:r w:rsidR="00B4269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дијагностике</w:t>
            </w:r>
            <w:r w:rsidR="00FF41A5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E1530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Радиолог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извјештава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резултатима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радиолошких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испитива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просјечно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унутар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24</w:t>
            </w:r>
            <w:r w:rsidR="006E1530">
              <w:rPr>
                <w:rFonts w:cs="Arial"/>
                <w:b/>
                <w:bCs/>
                <w:lang w:val="sr-Cyrl-CS"/>
              </w:rPr>
              <w:t xml:space="preserve"> сата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2.13.32.1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Свако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патолошко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sz w:val="20"/>
                <w:szCs w:val="20"/>
                <w:lang w:val="sr-Latn-CS"/>
              </w:rPr>
              <w:t>ста</w:t>
            </w:r>
            <w:r>
              <w:rPr>
                <w:sz w:val="20"/>
                <w:szCs w:val="20"/>
                <w:lang w:val="sr-Latn-CS"/>
              </w:rPr>
              <w:t>ње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захтијева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саопштава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ординирајућем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љекару</w:t>
            </w:r>
            <w:proofErr w:type="spellEnd"/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најкраћем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могућем</w:t>
            </w:r>
            <w:r w:rsidR="00FF41A5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року</w:t>
            </w:r>
            <w:r w:rsidR="00FF41A5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покретни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комплет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лијекова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прибора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хитне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случајеве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Комплет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може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налазити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колицима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пок</w:t>
            </w:r>
            <w:r w:rsidR="006E1530">
              <w:rPr>
                <w:rFonts w:cs="Arial"/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ретном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сточићу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cs="Arial"/>
                <w:sz w:val="20"/>
                <w:szCs w:val="20"/>
                <w:lang w:val="sr-Latn-CS"/>
              </w:rPr>
              <w:t>што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омогућује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брзо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премјешта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2.13.33.1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задужено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рокове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редовно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обнав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садржај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комплета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лијекова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прибора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хитне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случајеве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2.13.34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антишок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терапију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свим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мјестима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гдје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може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очекивати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неже</w:t>
            </w:r>
            <w:r>
              <w:rPr>
                <w:rFonts w:cs="Arial"/>
                <w:b/>
                <w:bCs/>
                <w:lang w:val="sr-Latn-CS"/>
              </w:rPr>
              <w:t>љена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алергијска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реакција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периодично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верификује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допу</w:t>
            </w:r>
            <w:r>
              <w:rPr>
                <w:rFonts w:cs="Arial"/>
                <w:b/>
                <w:bCs/>
                <w:lang w:val="sr-Latn-CS"/>
              </w:rPr>
              <w:t>њава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чему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постоји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релевантна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документација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Pr="006E1530" w:rsidRDefault="006E1530">
            <w:pPr>
              <w:snapToGrid w:val="0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Свуда гдје се пацијенту убризгава контрастно средство</w:t>
            </w: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2.13.34.1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одређено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рокове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редовно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обнав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садржај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анти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шок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сета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апарат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</w:t>
            </w:r>
            <w:r w:rsidR="006E1530">
              <w:rPr>
                <w:rFonts w:cs="Arial"/>
                <w:b/>
                <w:bCs/>
                <w:lang w:val="sr-Latn-CS"/>
              </w:rPr>
              <w:t>јере</w:t>
            </w:r>
            <w:r>
              <w:rPr>
                <w:rFonts w:cs="Arial"/>
                <w:b/>
                <w:bCs/>
                <w:lang w:val="sr-Latn-CS"/>
              </w:rPr>
              <w:t>ње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крвног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притиска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случају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наглог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погорша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здравственог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ста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пацијената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 w:rsidR="006E1530">
              <w:rPr>
                <w:rFonts w:cs="Arial"/>
                <w:b/>
                <w:bCs/>
                <w:lang w:val="sr-Latn-CS"/>
              </w:rPr>
              <w:t>особ</w:t>
            </w:r>
            <w:r>
              <w:rPr>
                <w:rFonts w:cs="Arial"/>
                <w:b/>
                <w:bCs/>
                <w:lang w:val="sr-Latn-CS"/>
              </w:rPr>
              <w:t>ља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или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посјетилаца</w:t>
            </w:r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6E1530">
        <w:trPr>
          <w:trHeight w:val="1262"/>
        </w:trPr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2.13.36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лице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задужено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зраче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.  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2.13.37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E153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зону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јонизујућег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зраче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налази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 xml:space="preserve">се </w:t>
            </w:r>
            <w:r>
              <w:rPr>
                <w:b/>
                <w:bCs/>
                <w:lang w:val="sr-Latn-CS"/>
              </w:rPr>
              <w:t>натпис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упозоре</w:t>
            </w:r>
            <w:r>
              <w:rPr>
                <w:b/>
                <w:bCs/>
                <w:lang w:val="sr-Latn-CS"/>
              </w:rPr>
              <w:t>ња</w:t>
            </w:r>
            <w:r w:rsidR="00FF41A5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посебно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ризиком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уласка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FF41A5">
              <w:rPr>
                <w:b/>
                <w:bCs/>
                <w:lang w:val="sr-Latn-CS"/>
              </w:rPr>
              <w:t xml:space="preserve">  </w:t>
            </w:r>
            <w:proofErr w:type="spellStart"/>
            <w:r w:rsidR="006E1530">
              <w:rPr>
                <w:b/>
                <w:bCs/>
                <w:lang w:val="sr-Latn-CS"/>
              </w:rPr>
              <w:t>пацијентки</w:t>
            </w:r>
            <w:r>
              <w:rPr>
                <w:b/>
                <w:bCs/>
                <w:lang w:val="sr-Latn-CS"/>
              </w:rPr>
              <w:t>ње</w:t>
            </w:r>
            <w:proofErr w:type="spellEnd"/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другом</w:t>
            </w:r>
            <w:r w:rsidR="00FF41A5">
              <w:rPr>
                <w:b/>
                <w:bCs/>
                <w:lang w:val="sr-Latn-CS"/>
              </w:rPr>
              <w:t xml:space="preserve"> </w:t>
            </w:r>
            <w:r w:rsidR="006E1530">
              <w:rPr>
                <w:b/>
                <w:bCs/>
                <w:lang w:val="sr-Latn-CS"/>
              </w:rPr>
              <w:t>ста</w:t>
            </w:r>
            <w:r>
              <w:rPr>
                <w:b/>
                <w:bCs/>
                <w:lang w:val="sr-Latn-CS"/>
              </w:rPr>
              <w:t>њу</w:t>
            </w:r>
            <w:r w:rsidR="00FF41A5">
              <w:rPr>
                <w:b/>
                <w:bCs/>
                <w:lang w:val="sr-Latn-CS"/>
              </w:rPr>
              <w:t>.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2.13.37.1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pStyle w:val="a3"/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Прије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излага</w:t>
            </w:r>
            <w:r>
              <w:rPr>
                <w:rFonts w:cs="Arial"/>
                <w:sz w:val="20"/>
                <w:szCs w:val="20"/>
                <w:lang w:val="sr-Latn-CS"/>
              </w:rPr>
              <w:t>ња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јонизујућем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зраче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="006E1530">
              <w:rPr>
                <w:rFonts w:cs="Arial"/>
                <w:sz w:val="20"/>
                <w:szCs w:val="20"/>
                <w:lang w:val="sr-Latn-CS"/>
              </w:rPr>
              <w:t>пацијентки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жене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пратиоци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репродуктивној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доби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провјеравају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могућност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другом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ста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FF41A5">
              <w:rPr>
                <w:rFonts w:cs="Arial"/>
                <w:lang w:val="sr-Latn-CS"/>
              </w:rPr>
              <w:t xml:space="preserve">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pStyle w:val="a3"/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2.13.38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Све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особ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</w:t>
            </w:r>
            <w:r w:rsidR="00FF41A5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зони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јонизујућег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зраче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 w:rsidR="006E1530">
              <w:rPr>
                <w:rFonts w:cs="Arial"/>
                <w:b/>
                <w:bCs/>
                <w:lang w:val="sr-Latn-CS"/>
              </w:rPr>
              <w:t>ук</w:t>
            </w:r>
            <w:r>
              <w:rPr>
                <w:rFonts w:cs="Arial"/>
                <w:b/>
                <w:bCs/>
                <w:lang w:val="sr-Latn-CS"/>
              </w:rPr>
              <w:t>ључено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личне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дозиметрије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2.13.38.1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Програм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личне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дозиметрије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ук</w:t>
            </w:r>
            <w:r>
              <w:rPr>
                <w:rFonts w:cs="Arial"/>
                <w:sz w:val="20"/>
                <w:szCs w:val="20"/>
                <w:lang w:val="sr-Latn-CS"/>
              </w:rPr>
              <w:t>ључује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радиологе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специјализанте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опште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праксе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радиолошком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одјеље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„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круже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“,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других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специјалности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асистирају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интервентну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радиологију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радиолошке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медицинске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сестре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техничаре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запослене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одјеље</w:t>
            </w:r>
            <w:r>
              <w:rPr>
                <w:rFonts w:cs="Arial"/>
                <w:sz w:val="20"/>
                <w:szCs w:val="20"/>
                <w:lang w:val="sr-Latn-CS"/>
              </w:rPr>
              <w:t>њу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фотолаборанте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2.13.38.2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Дозиметри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очитавају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најма</w:t>
            </w:r>
            <w:r>
              <w:rPr>
                <w:rFonts w:cs="Arial"/>
                <w:sz w:val="20"/>
                <w:szCs w:val="20"/>
                <w:lang w:val="sr-Latn-CS"/>
              </w:rPr>
              <w:t>ње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тромјесечно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то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овлаштеној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референтној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установи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2.13.39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Радиологија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606F3B">
              <w:rPr>
                <w:rFonts w:cs="Arial"/>
                <w:b/>
                <w:bCs/>
                <w:lang w:val="sr-Latn-CS"/>
              </w:rPr>
              <w:t xml:space="preserve"> </w:t>
            </w:r>
            <w:r w:rsidR="00606F3B">
              <w:rPr>
                <w:rFonts w:cs="Arial"/>
                <w:b/>
                <w:bCs/>
                <w:lang w:val="sr-Cyrl-BA"/>
              </w:rPr>
              <w:t>и користи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опрему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заштиту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зраче</w:t>
            </w:r>
            <w:r>
              <w:rPr>
                <w:rFonts w:cs="Arial"/>
                <w:b/>
                <w:bCs/>
                <w:lang w:val="sr-Latn-CS"/>
              </w:rPr>
              <w:t>ња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(</w:t>
            </w:r>
            <w:r>
              <w:rPr>
                <w:rFonts w:cs="Arial"/>
                <w:b/>
                <w:bCs/>
                <w:lang w:val="sr-Latn-CS"/>
              </w:rPr>
              <w:t>покретне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параване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оловне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 w:rsidR="006E1530">
              <w:rPr>
                <w:rFonts w:cs="Arial"/>
                <w:b/>
                <w:bCs/>
                <w:lang w:val="sr-Latn-CS"/>
              </w:rPr>
              <w:t>кеце</w:t>
            </w:r>
            <w:r>
              <w:rPr>
                <w:rFonts w:cs="Arial"/>
                <w:b/>
                <w:bCs/>
                <w:lang w:val="sr-Latn-CS"/>
              </w:rPr>
              <w:t>ље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штитнике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тироидну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жлијезду</w:t>
            </w:r>
            <w:proofErr w:type="spellEnd"/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FF41A5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</w:t>
            </w:r>
            <w:r w:rsidR="00FF41A5">
              <w:rPr>
                <w:rFonts w:cs="Arial"/>
                <w:b/>
                <w:bCs/>
                <w:lang w:val="sr-Latn-CS"/>
              </w:rPr>
              <w:t>.):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2.13.39.1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рукавице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2.13.39.2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ангио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сали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покретни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параван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оловним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стаклом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личну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: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кеце</w:t>
            </w:r>
            <w:r>
              <w:rPr>
                <w:rFonts w:cs="Arial"/>
                <w:sz w:val="20"/>
                <w:szCs w:val="20"/>
                <w:lang w:val="sr-Latn-CS"/>
              </w:rPr>
              <w:t>ље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моћи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мин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. 0,35 </w:t>
            </w:r>
            <w:r>
              <w:rPr>
                <w:rFonts w:cs="Arial"/>
                <w:sz w:val="20"/>
                <w:szCs w:val="20"/>
                <w:lang w:val="sr-Latn-CS"/>
              </w:rPr>
              <w:t>мм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олова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штитнике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тироидну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жлијезду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наочари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рукавице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6E1530" w:rsidP="006E153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FF41A5">
              <w:rPr>
                <w:lang w:val="sr-Latn-CS"/>
              </w:rPr>
              <w:t>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  <w:tr w:rsidR="00FF41A5" w:rsidTr="00A528A0">
        <w:tc>
          <w:tcPr>
            <w:tcW w:w="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2.13.39.3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F41A5" w:rsidRDefault="00A528A0" w:rsidP="00606F3B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Радиологија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кабинету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мамографију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покретни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параван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опрему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cs="Arial"/>
                <w:sz w:val="20"/>
                <w:szCs w:val="20"/>
                <w:lang w:val="sr-Latn-CS"/>
              </w:rPr>
              <w:t>оловна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="006E1530">
              <w:rPr>
                <w:rFonts w:cs="Arial"/>
                <w:sz w:val="20"/>
                <w:szCs w:val="20"/>
                <w:lang w:val="sr-Latn-CS"/>
              </w:rPr>
              <w:t>кеце</w:t>
            </w:r>
            <w:r>
              <w:rPr>
                <w:rFonts w:cs="Arial"/>
                <w:sz w:val="20"/>
                <w:szCs w:val="20"/>
                <w:lang w:val="sr-Latn-CS"/>
              </w:rPr>
              <w:t>ља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штитник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тироидну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="006E1530">
              <w:rPr>
                <w:rFonts w:cs="Arial"/>
                <w:sz w:val="20"/>
                <w:szCs w:val="20"/>
                <w:lang w:val="sr-Latn-CS"/>
              </w:rPr>
              <w:t>ж</w:t>
            </w:r>
            <w:r>
              <w:rPr>
                <w:rFonts w:cs="Arial"/>
                <w:sz w:val="20"/>
                <w:szCs w:val="20"/>
                <w:lang w:val="sr-Latn-CS"/>
              </w:rPr>
              <w:t>љезду</w:t>
            </w:r>
            <w:proofErr w:type="spellEnd"/>
            <w:r w:rsidR="00FF41A5">
              <w:rPr>
                <w:rFonts w:cs="Arial"/>
                <w:sz w:val="20"/>
                <w:szCs w:val="20"/>
                <w:lang w:val="sr-Latn-CS"/>
              </w:rPr>
              <w:t xml:space="preserve"> 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A528A0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6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FF41A5" w:rsidRDefault="00FF41A5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6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F41A5" w:rsidRDefault="00FF41A5">
            <w:pPr>
              <w:snapToGrid w:val="0"/>
              <w:rPr>
                <w:rFonts w:cs="Arial"/>
                <w:lang w:val="sr-Latn-CS"/>
              </w:rPr>
            </w:pPr>
          </w:p>
        </w:tc>
      </w:tr>
    </w:tbl>
    <w:p w:rsidR="00FF41A5" w:rsidRDefault="00FF41A5"/>
    <w:sectPr w:rsidR="00FF41A5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B8D" w:rsidRDefault="00B47B8D" w:rsidP="00A528A0">
      <w:r>
        <w:separator/>
      </w:r>
    </w:p>
  </w:endnote>
  <w:endnote w:type="continuationSeparator" w:id="0">
    <w:p w:rsidR="00B47B8D" w:rsidRDefault="00B47B8D" w:rsidP="00A52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B8D" w:rsidRDefault="00B47B8D" w:rsidP="00A528A0">
      <w:r>
        <w:separator/>
      </w:r>
    </w:p>
  </w:footnote>
  <w:footnote w:type="continuationSeparator" w:id="0">
    <w:p w:rsidR="00B47B8D" w:rsidRDefault="00B47B8D" w:rsidP="00A52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8"/>
      <w:gridCol w:w="12"/>
    </w:tblGrid>
    <w:tr w:rsidR="00BB4CF9" w:rsidTr="00A528A0">
      <w:trPr>
        <w:tblHeader/>
      </w:trPr>
      <w:tc>
        <w:tcPr>
          <w:tcW w:w="969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b/>
              <w:bCs/>
              <w:color w:val="000000"/>
              <w:lang w:val="sr-Latn-BA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849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717" w:type="dxa"/>
          <w:shd w:val="clear" w:color="auto" w:fill="auto"/>
          <w:vAlign w:val="center"/>
        </w:tcPr>
        <w:p w:rsidR="00BB4CF9" w:rsidRDefault="00BB4CF9" w:rsidP="00A528A0">
          <w:pPr>
            <w:pStyle w:val="a3"/>
            <w:snapToGrid w:val="0"/>
            <w:rPr>
              <w:lang w:val="sr-Latn-BA"/>
            </w:rPr>
          </w:pPr>
        </w:p>
      </w:tc>
      <w:tc>
        <w:tcPr>
          <w:tcW w:w="1630" w:type="dxa"/>
          <w:gridSpan w:val="2"/>
          <w:shd w:val="clear" w:color="auto" w:fill="auto"/>
          <w:vAlign w:val="center"/>
        </w:tcPr>
        <w:p w:rsidR="00BB4CF9" w:rsidRPr="00494950" w:rsidRDefault="00BB4CF9" w:rsidP="00A528A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страна</w:t>
          </w:r>
          <w:r w:rsidRPr="00494950">
            <w:rPr>
              <w:sz w:val="20"/>
              <w:szCs w:val="20"/>
            </w:rPr>
            <w:t xml:space="preserve"> </w:t>
          </w:r>
          <w:r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PAGE   \* MERGEFORMAT </w:instrText>
          </w:r>
          <w:r w:rsidRPr="00494950">
            <w:rPr>
              <w:sz w:val="20"/>
              <w:szCs w:val="20"/>
            </w:rPr>
            <w:fldChar w:fldCharType="separate"/>
          </w:r>
          <w:r w:rsidR="00807594">
            <w:rPr>
              <w:noProof/>
              <w:sz w:val="20"/>
              <w:szCs w:val="20"/>
            </w:rPr>
            <w:t>8</w:t>
          </w:r>
          <w:r w:rsidRPr="00494950">
            <w:rPr>
              <w:sz w:val="20"/>
              <w:szCs w:val="20"/>
            </w:rPr>
            <w:fldChar w:fldCharType="end"/>
          </w:r>
          <w:r w:rsidRPr="004949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</w:t>
          </w:r>
          <w:r w:rsidRPr="00494950">
            <w:rPr>
              <w:sz w:val="20"/>
              <w:szCs w:val="20"/>
            </w:rPr>
            <w:t xml:space="preserve"> </w:t>
          </w:r>
          <w:r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NUMPAGES   \* MERGEFORMAT </w:instrText>
          </w:r>
          <w:r w:rsidRPr="00494950">
            <w:rPr>
              <w:sz w:val="20"/>
              <w:szCs w:val="20"/>
            </w:rPr>
            <w:fldChar w:fldCharType="separate"/>
          </w:r>
          <w:r w:rsidR="00807594">
            <w:rPr>
              <w:noProof/>
              <w:sz w:val="20"/>
              <w:szCs w:val="20"/>
            </w:rPr>
            <w:t>8</w:t>
          </w:r>
          <w:r w:rsidRPr="00494950">
            <w:rPr>
              <w:sz w:val="20"/>
              <w:szCs w:val="20"/>
            </w:rPr>
            <w:fldChar w:fldCharType="end"/>
          </w:r>
        </w:p>
      </w:tc>
    </w:tr>
    <w:tr w:rsidR="00BB4CF9" w:rsidTr="00A528A0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12" w:type="dxa"/>
        <w:tblHeader/>
      </w:trPr>
      <w:tc>
        <w:tcPr>
          <w:tcW w:w="96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  <w:r>
            <w:rPr>
              <w:lang w:val="sr-Latn-CS"/>
            </w:rPr>
            <w:t>2.13 ДИЈАГНОСТИКА - РАДИОЛОГИЈА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BB4CF9" w:rsidRDefault="00BB4CF9" w:rsidP="00A528A0">
          <w:pPr>
            <w:pStyle w:val="a3"/>
            <w:snapToGrid w:val="0"/>
            <w:rPr>
              <w:lang w:val="sr-Latn-CS"/>
            </w:rPr>
          </w:pPr>
        </w:p>
      </w:tc>
    </w:tr>
  </w:tbl>
  <w:p w:rsidR="00BB4CF9" w:rsidRDefault="00BB4CF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A8A"/>
    <w:rsid w:val="003359DA"/>
    <w:rsid w:val="004E5444"/>
    <w:rsid w:val="005F390C"/>
    <w:rsid w:val="00606F3B"/>
    <w:rsid w:val="006C6788"/>
    <w:rsid w:val="006E1530"/>
    <w:rsid w:val="00807594"/>
    <w:rsid w:val="00953A8A"/>
    <w:rsid w:val="00A528A0"/>
    <w:rsid w:val="00A64C6E"/>
    <w:rsid w:val="00B42691"/>
    <w:rsid w:val="00B47B8D"/>
    <w:rsid w:val="00BB4CF9"/>
    <w:rsid w:val="00C36EF9"/>
    <w:rsid w:val="00C6174B"/>
    <w:rsid w:val="00FF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customStyle="1" w:styleId="WW-Absatz-Standardschriftart">
    <w:name w:val="WW-Absatz-Standardschriftart"/>
  </w:style>
  <w:style w:type="character" w:customStyle="1" w:styleId="WW-DefaultParagraphFont1">
    <w:name w:val="WW-Default Paragraph Font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1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pPr>
      <w:suppressLineNumbers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6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C6E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A64C6E"/>
    <w:rPr>
      <w:rFonts w:eastAsia="DejaVu Sans" w:cs="Mangal"/>
      <w:kern w:val="1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C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4C6E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customStyle="1" w:styleId="WW-Absatz-Standardschriftart">
    <w:name w:val="WW-Absatz-Standardschriftart"/>
  </w:style>
  <w:style w:type="character" w:customStyle="1" w:styleId="WW-DefaultParagraphFont1">
    <w:name w:val="WW-Default Paragraph Font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1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pPr>
      <w:suppressLineNumbers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A64C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C6E"/>
    <w:rPr>
      <w:rFonts w:cs="Mangal"/>
      <w:sz w:val="20"/>
      <w:szCs w:val="18"/>
    </w:rPr>
  </w:style>
  <w:style w:type="character" w:customStyle="1" w:styleId="CommentTextChar">
    <w:name w:val="Comment Text Char"/>
    <w:link w:val="CommentText"/>
    <w:uiPriority w:val="99"/>
    <w:semiHidden/>
    <w:rsid w:val="00A64C6E"/>
    <w:rPr>
      <w:rFonts w:eastAsia="DejaVu Sans" w:cs="Mangal"/>
      <w:kern w:val="1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C6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64C6E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A528A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A528A0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2006</Words>
  <Characters>11436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cp:lastModifiedBy>Djina</cp:lastModifiedBy>
  <cp:revision>5</cp:revision>
  <cp:lastPrinted>1900-12-31T23:00:00Z</cp:lastPrinted>
  <dcterms:created xsi:type="dcterms:W3CDTF">2012-02-16T11:55:00Z</dcterms:created>
  <dcterms:modified xsi:type="dcterms:W3CDTF">2012-09-03T11:30:00Z</dcterms:modified>
</cp:coreProperties>
</file>