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8"/>
        <w:gridCol w:w="4634"/>
        <w:gridCol w:w="784"/>
        <w:gridCol w:w="932"/>
        <w:gridCol w:w="810"/>
        <w:gridCol w:w="1438"/>
      </w:tblGrid>
      <w:tr w:rsidR="00775134" w:rsidTr="006341F4">
        <w:trPr>
          <w:tblHeader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Захтјев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Сертификација/акредитација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134" w:rsidRDefault="00775134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775134" w:rsidTr="006341F4">
        <w:trPr>
          <w:tblHeader/>
        </w:trPr>
        <w:tc>
          <w:tcPr>
            <w:tcW w:w="10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775134" w:rsidRDefault="00775134">
            <w:pPr>
              <w:pStyle w:val="a2"/>
              <w:snapToGrid w:val="0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Операциона сала у надлежности је начелника операционог блока, хирурга с одговарајућим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Сестринским пословима у операционом блоку  управља медицинска сестра с одговарајућим искуством, обучена  за процедуре у операционој сали.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2.3.3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Медицинске сестре, с искуством у раду у операционој сали, на дужности су током цијелог дана (24 </w:t>
            </w:r>
            <w:r>
              <w:rPr>
                <w:b/>
                <w:bCs/>
                <w:lang w:val="sr-Cyrl-CS"/>
              </w:rPr>
              <w:t>сата</w:t>
            </w:r>
            <w:r>
              <w:rPr>
                <w:b/>
                <w:bCs/>
                <w:lang w:val="sr-Latn-CS"/>
              </w:rPr>
              <w:t>).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2.3.4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Главна сестра у операционој сали утврђује све неопходне политике и процедуре у вези са сестринским задацима, што укључује најмање: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lang w:val="sr-Latn-CS"/>
              </w:rPr>
            </w:pPr>
            <w:r>
              <w:rPr>
                <w:i w:val="0"/>
                <w:iCs w:val="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Провјеру идентификације пацијента код припреме за операцију,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Спречавање инфекција,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2.3.4.3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Стерилизацију опреме, алата, хируршких инструмената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2.3.4.4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Пребројавање газа и хируршких инструмената.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 особље које ради у операционој сали посједује цертификат, лиценцу или друге доказе о оспособљености за дјелатност</w:t>
            </w:r>
            <w:r w:rsidR="006D731A">
              <w:rPr>
                <w:b/>
                <w:bCs/>
                <w:lang w:val="sr-Latn-CS"/>
              </w:rPr>
              <w:t>.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2.3.5.1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 w:rsidP="006D731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персоналним досјеима налазе се копије добијених цертификата, лиценци и других доказа.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2.3.6.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докази да се спроводи континуирана обука особља које ради у операционој сали (уз провјеру компетенција). Обука обухвата најмање сљедеће: 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Руковање опремом,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 дефибрилатора,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2.3.6.3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 пулсне оксиметрије,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2.3.6.4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Коришћење дијатермије,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Спречавање инфекција,</w:t>
            </w:r>
            <w:r>
              <w:rPr>
                <w:b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sz w:val="20"/>
                <w:szCs w:val="20"/>
                <w:lang w:val="sr-Latn-CS"/>
              </w:rPr>
              <w:t xml:space="preserve">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2.3.6.6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Поступање према правилима централне стерилизације, 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2.3.6.7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Одржавање стерилности оперативног поља,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2.3.6.8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Придржавање политика и процедура у вези с операционим рубљем, одјећом и обућом за хируршке сале,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0" w:name="_Hlk269453171"/>
            <w:bookmarkStart w:id="1" w:name="OLE_LINK3"/>
            <w:bookmarkStart w:id="2" w:name="OLE_LINK2"/>
            <w:bookmarkStart w:id="3" w:name="OLE_LINK1"/>
            <w:bookmarkEnd w:id="0"/>
            <w:bookmarkEnd w:id="1"/>
            <w:bookmarkEnd w:id="2"/>
            <w:bookmarkEnd w:id="3"/>
            <w:r>
              <w:rPr>
                <w:sz w:val="20"/>
                <w:szCs w:val="20"/>
                <w:lang w:val="sr-Latn-CS"/>
              </w:rPr>
              <w:t>2.3.6.9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Позиционирање пацијента заједно с анестетичарем.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–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2.3.7 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У операционој сали сви запослени строго поштују смјернице за спречавање  инфекција: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 w:rsidP="00E4444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документована политика како се поступа с пацијентима који болују од инфективних болести, што укључује најмање ТБ, HIV, вирусни хепатитис Б и Ц,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Радна средина у операционој сали је чиста и без прашине,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2.3.7.3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У операционој сали нема тоалета </w:t>
            </w:r>
            <w:r>
              <w:rPr>
                <w:sz w:val="20"/>
                <w:szCs w:val="20"/>
                <w:lang w:val="sr-Cyrl-CS"/>
              </w:rPr>
              <w:t xml:space="preserve">или </w:t>
            </w:r>
            <w:r>
              <w:rPr>
                <w:sz w:val="20"/>
                <w:szCs w:val="20"/>
                <w:lang w:val="sr-Latn-CS"/>
              </w:rPr>
              <w:t xml:space="preserve">ормара,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2.3.7.4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Постоје и примјењују се политике и процедуре у вези кретања кроз операциону салу,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јасно раздвајање између дијела са ограниченим приступом и осталог дијела операционе сале,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2.3.7.6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 дијелу операционе сале гдје је приступ ограничен обавезно је коришћење прописане опреме,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2.3.7.7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улазу у сваку операциону салу постоје велики лавабои за детаљно прање руку свих чланова хируршког тима.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2.3.8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Исправност и безбједност све медицинске и друге опреме у операционом блоку периодично се провјерава, у складу с документованим поступцима и плановима превентивног одржавања, о чему постоје докази.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2.3.8.1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 w:rsidP="00E4444F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Сви системи за узбуну, инсталирани на опреми за праћење стања пацијената (нпр. инфузионе пумпе, монитори рада срца, притиска, респиратори</w:t>
            </w:r>
            <w:r>
              <w:rPr>
                <w:sz w:val="20"/>
                <w:szCs w:val="20"/>
                <w:lang w:val="sr-Cyrl-CS"/>
              </w:rPr>
              <w:t xml:space="preserve">) </w:t>
            </w:r>
            <w:r>
              <w:rPr>
                <w:sz w:val="20"/>
                <w:szCs w:val="20"/>
                <w:lang w:val="sr-Latn-CS"/>
              </w:rPr>
              <w:t xml:space="preserve"> исправни</w:t>
            </w:r>
            <w:r>
              <w:rPr>
                <w:sz w:val="20"/>
                <w:szCs w:val="20"/>
                <w:lang w:val="sr-Cyrl-CS"/>
              </w:rPr>
              <w:t xml:space="preserve"> су</w:t>
            </w:r>
            <w:r>
              <w:rPr>
                <w:sz w:val="20"/>
                <w:szCs w:val="20"/>
                <w:lang w:val="sr-Latn-CS"/>
              </w:rPr>
              <w:t>, редовно се сервисирају, правилно одржавају, превентивно контролишу и испитују,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rPr>
          <w:trHeight w:val="1806"/>
        </w:trPr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2.3.8.2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widowControl/>
              <w:suppressAutoHyphens w:val="0"/>
              <w:autoSpaceDE w:val="0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Све особље у операционом блоку обучено је за коришћење опреме и за интерпретацију сигнала за узбуну.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2.3.9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 и примјењују се политике и документовани поступци за пријем пацијената у операциону салу којима се утврђују надлежности, задаци и редосљед рада свег укљученог особља. Ови поступци прописују: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 w:rsidP="006341F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У развој политика и документо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ваних поступака треба да буду укључени начелник анестезије и начелник хирургије.</w:t>
            </w: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 w:rsidP="00E4444F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2.3.9.1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 w:rsidP="00E4444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Начине за једнозначну идентификацију пацијента,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 w:rsidP="006341F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Нпр.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пацијент се може идентифи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ковати по имену и ознаци медицинске документације, што се пореди с траком с идентификаци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оном ознаком коју пацијент носи, или се може тражити да пацијент саопшти своје име и операцију којој се подвргава.</w:t>
            </w: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2.3.9.2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Потврђивање да је формулар за давање сагласности за операцију исправно попуњен,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2.3.9.3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врсте операције која треба да се обави и имена хирурга,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2.3.9.4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мјеста операције и спроведене припреме,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 w:rsidP="006341F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Мјесто операције може бити оби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љежено/означено за вријеме припреме пацијента за операцију</w:t>
            </w: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lastRenderedPageBreak/>
              <w:t>2.3.9.5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је на располагању комплет рендгенских снимака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2.3.9.6</w:t>
            </w:r>
          </w:p>
        </w:tc>
        <w:tc>
          <w:tcPr>
            <w:tcW w:w="4634" w:type="dxa"/>
            <w:tcBorders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Потврђивање да се у медицинској документацији налазе лабораторијски резултати, укључујући тестове на трудноћу, ако је примјенљиво,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jc w:val="righ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2.3.9.7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је пре-анестетичка листа на располагању и да је исправно попуњена,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2.3.9.8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Потврђивање да су на располагању историја болести и резултати обављених прегледа,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2.3.9.9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Верификацију да је потребна крв на располагању, ако је потребна.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2.3.10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Установа посједује и примјењује документоване поступке којима се обезбјеђује сигурност извођења хируршке операције/интервенције, што подразумијева: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2.3.10.1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Преоперативну идентификацију пацијента, преоперативни пристанак пацијента, сагласност анестезиолога, дефинисан хируршки приступ и локализација хируршке операције/интервенције,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2.3.10.2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за означавање мјеста операције на пацијенту уз коришћење стандардизованих симбола,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Ознаке наноси хирург који треба да изведе операцију</w:t>
            </w: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2.3.10.3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Примјену чек-листе за безбједну хирургију, сагласно препорукама Свјетске здравствене организације.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spacing w:before="0" w:after="0"/>
              <w:rPr>
                <w:rFonts w:ascii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2.3.11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операционој сали главни хирург попуњава чек-листу која потврђује идентитет пацијента, мјесто операције, оперативну технику коју ће </w:t>
            </w:r>
            <w:r w:rsidRPr="000E33BB">
              <w:rPr>
                <w:b/>
                <w:bCs/>
                <w:lang w:val="sr-Cyrl-CS"/>
              </w:rPr>
              <w:t>примијенити</w:t>
            </w:r>
            <w:r>
              <w:rPr>
                <w:b/>
                <w:bCs/>
                <w:lang w:val="sr-Latn-CS"/>
              </w:rPr>
              <w:t>, положај пацијента и потребну опрему за операцију/интервенцију.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2.3.12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 увођења пацијента у анестезију хирурзи, анестезиолози, анестетичари и сестре провјеравају расположивост и функционалност све опреме и алата потребних за операцију.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  <w:tr w:rsidR="00775134" w:rsidTr="006341F4">
        <w:tc>
          <w:tcPr>
            <w:tcW w:w="1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2.3.13 </w:t>
            </w:r>
          </w:p>
        </w:tc>
        <w:tc>
          <w:tcPr>
            <w:tcW w:w="4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75134" w:rsidRDefault="00775134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и примјењују се политике и процедуре у вези с пребројавањем тампона и инструмената прије и послије операције и о томе се воде записи.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1 - 4</w:t>
            </w: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75134" w:rsidRDefault="00775134">
            <w:pPr>
              <w:pStyle w:val="a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00"/>
                <w:lang w:val="sr-Latn-CS"/>
              </w:rPr>
            </w:pPr>
          </w:p>
        </w:tc>
      </w:tr>
    </w:tbl>
    <w:p w:rsidR="00775134" w:rsidRPr="008367DA" w:rsidRDefault="00775134" w:rsidP="008367DA">
      <w:pPr>
        <w:rPr>
          <w:lang w:val="sr-Cyrl-CS"/>
        </w:rPr>
      </w:pPr>
      <w:bookmarkStart w:id="4" w:name="_GoBack"/>
      <w:bookmarkEnd w:id="4"/>
    </w:p>
    <w:sectPr w:rsidR="00775134" w:rsidRPr="008367DA" w:rsidSect="0031471E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D2" w:rsidRDefault="00CA31D2" w:rsidP="00F12A65">
      <w:r>
        <w:separator/>
      </w:r>
    </w:p>
  </w:endnote>
  <w:endnote w:type="continuationSeparator" w:id="0">
    <w:p w:rsidR="00CA31D2" w:rsidRDefault="00CA31D2" w:rsidP="00F12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D2" w:rsidRDefault="00CA31D2" w:rsidP="00F12A65">
      <w:r>
        <w:separator/>
      </w:r>
    </w:p>
  </w:footnote>
  <w:footnote w:type="continuationSeparator" w:id="0">
    <w:p w:rsidR="00CA31D2" w:rsidRDefault="00CA31D2" w:rsidP="00F12A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93"/>
      <w:gridCol w:w="4689"/>
      <w:gridCol w:w="784"/>
      <w:gridCol w:w="849"/>
      <w:gridCol w:w="717"/>
      <w:gridCol w:w="1614"/>
    </w:tblGrid>
    <w:tr w:rsidR="00775134">
      <w:trPr>
        <w:tblHeader/>
      </w:trPr>
      <w:tc>
        <w:tcPr>
          <w:tcW w:w="99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Pr="00F12A65" w:rsidRDefault="00775134" w:rsidP="00F12A65">
          <w:pPr>
            <w:pStyle w:val="a2"/>
            <w:snapToGrid w:val="0"/>
            <w:rPr>
              <w:b/>
              <w:bCs/>
              <w:sz w:val="20"/>
              <w:szCs w:val="20"/>
              <w:lang w:val="sr-Latn-CS"/>
            </w:rPr>
          </w:pPr>
          <w:r w:rsidRPr="00F12A65"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4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lang w:val="sr-Latn-CS"/>
            </w:rPr>
            <w:t xml:space="preserve">страна </w:t>
          </w:r>
          <w:r w:rsidRPr="00F12A65">
            <w:rPr>
              <w:lang w:val="sr-Latn-CS"/>
            </w:rPr>
            <w:fldChar w:fldCharType="begin"/>
          </w:r>
          <w:r w:rsidRPr="00F12A65">
            <w:rPr>
              <w:lang w:val="sr-Latn-CS"/>
            </w:rPr>
            <w:instrText xml:space="preserve"> PAGE </w:instrText>
          </w:r>
          <w:r w:rsidRPr="00F12A65">
            <w:rPr>
              <w:lang w:val="sr-Latn-CS"/>
            </w:rPr>
            <w:fldChar w:fldCharType="separate"/>
          </w:r>
          <w:r w:rsidR="008367DA">
            <w:rPr>
              <w:noProof/>
              <w:lang w:val="sr-Latn-CS"/>
            </w:rPr>
            <w:t>5</w:t>
          </w:r>
          <w:r w:rsidRPr="00F12A65">
            <w:rPr>
              <w:lang w:val="sr-Latn-CS"/>
            </w:rPr>
            <w:fldChar w:fldCharType="end"/>
          </w:r>
          <w:r w:rsidRPr="00F12A65">
            <w:rPr>
              <w:lang w:val="sr-Latn-CS"/>
            </w:rPr>
            <w:t xml:space="preserve"> од </w:t>
          </w:r>
          <w:r w:rsidRPr="00F12A65">
            <w:rPr>
              <w:lang w:val="sr-Latn-CS"/>
            </w:rPr>
            <w:fldChar w:fldCharType="begin"/>
          </w:r>
          <w:r w:rsidRPr="00F12A65">
            <w:rPr>
              <w:lang w:val="sr-Latn-CS"/>
            </w:rPr>
            <w:instrText xml:space="preserve"> NUMPAGES \*Arabic </w:instrText>
          </w:r>
          <w:r w:rsidRPr="00F12A65">
            <w:rPr>
              <w:lang w:val="sr-Latn-CS"/>
            </w:rPr>
            <w:fldChar w:fldCharType="separate"/>
          </w:r>
          <w:r w:rsidR="008367DA">
            <w:rPr>
              <w:noProof/>
              <w:lang w:val="sr-Latn-CS"/>
            </w:rPr>
            <w:t>5</w:t>
          </w:r>
          <w:r w:rsidRPr="00F12A65">
            <w:rPr>
              <w:lang w:val="sr-Latn-CS"/>
            </w:rPr>
            <w:fldChar w:fldCharType="end"/>
          </w:r>
        </w:p>
      </w:tc>
    </w:tr>
    <w:tr w:rsidR="00775134">
      <w:trPr>
        <w:tblHeader/>
      </w:trPr>
      <w:tc>
        <w:tcPr>
          <w:tcW w:w="993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9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2.3 Хируршке службе – Операционе сале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4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775134" w:rsidRDefault="00775134" w:rsidP="00F12A65">
          <w:pPr>
            <w:pStyle w:val="a2"/>
            <w:snapToGrid w:val="0"/>
            <w:rPr>
              <w:lang w:val="sr-Latn-CS"/>
            </w:rPr>
          </w:pPr>
        </w:p>
      </w:tc>
    </w:tr>
  </w:tbl>
  <w:p w:rsidR="00387247" w:rsidRDefault="003872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591"/>
    <w:rsid w:val="000B7ADA"/>
    <w:rsid w:val="000E33BB"/>
    <w:rsid w:val="0031471E"/>
    <w:rsid w:val="00366B92"/>
    <w:rsid w:val="00387247"/>
    <w:rsid w:val="00582C43"/>
    <w:rsid w:val="006341F4"/>
    <w:rsid w:val="006D731A"/>
    <w:rsid w:val="00775134"/>
    <w:rsid w:val="008367DA"/>
    <w:rsid w:val="008A08EE"/>
    <w:rsid w:val="008C6591"/>
    <w:rsid w:val="00CA31D2"/>
    <w:rsid w:val="00CC6B7A"/>
    <w:rsid w:val="00E4444F"/>
    <w:rsid w:val="00EB5B49"/>
    <w:rsid w:val="00F1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71E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uiPriority w:val="99"/>
    <w:rsid w:val="0031471E"/>
  </w:style>
  <w:style w:type="paragraph" w:customStyle="1" w:styleId="a">
    <w:name w:val="Заголовок"/>
    <w:basedOn w:val="Normal"/>
    <w:next w:val="BodyText"/>
    <w:uiPriority w:val="99"/>
    <w:rsid w:val="003147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31471E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0B7B07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31471E"/>
  </w:style>
  <w:style w:type="paragraph" w:customStyle="1" w:styleId="a0">
    <w:name w:val="Название"/>
    <w:basedOn w:val="Normal"/>
    <w:uiPriority w:val="99"/>
    <w:rsid w:val="0031471E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31471E"/>
    <w:pPr>
      <w:suppressLineNumbers/>
    </w:pPr>
  </w:style>
  <w:style w:type="paragraph" w:styleId="Title">
    <w:name w:val="Title"/>
    <w:basedOn w:val="a"/>
    <w:next w:val="Subtitle"/>
    <w:link w:val="TitleChar"/>
    <w:uiPriority w:val="99"/>
    <w:qFormat/>
    <w:rsid w:val="0031471E"/>
  </w:style>
  <w:style w:type="character" w:customStyle="1" w:styleId="TitleChar">
    <w:name w:val="Title Char"/>
    <w:link w:val="Title"/>
    <w:uiPriority w:val="10"/>
    <w:rsid w:val="000B7B07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99"/>
    <w:qFormat/>
    <w:rsid w:val="0031471E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0B7B07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uiPriority w:val="99"/>
    <w:rsid w:val="0031471E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3147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7B07"/>
    <w:rPr>
      <w:rFonts w:cs="Mangal"/>
      <w:kern w:val="1"/>
      <w:sz w:val="0"/>
      <w:szCs w:val="0"/>
      <w:lang w:val="ru-RU" w:eastAsia="hi-IN" w:bidi="hi-IN"/>
    </w:rPr>
  </w:style>
  <w:style w:type="paragraph" w:customStyle="1" w:styleId="TableContents">
    <w:name w:val="Table Contents"/>
    <w:basedOn w:val="Normal"/>
    <w:uiPriority w:val="99"/>
    <w:rsid w:val="0031471E"/>
    <w:pPr>
      <w:widowControl/>
      <w:suppressAutoHyphens w:val="0"/>
      <w:autoSpaceDE w:val="0"/>
    </w:pPr>
  </w:style>
  <w:style w:type="paragraph" w:customStyle="1" w:styleId="a3">
    <w:name w:val="Заголовок таблицы"/>
    <w:basedOn w:val="a2"/>
    <w:uiPriority w:val="99"/>
    <w:rsid w:val="0031471E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F12A65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F12A65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F12A65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F12A65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C6B46-9D7A-4C5F-890B-8B0C3F664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>Grupa standarda</vt:lpstr>
    </vt:vector>
  </TitlesOfParts>
  <Company>- ETH0 -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subject/>
  <dc:creator>Radomir Bošković</dc:creator>
  <cp:keywords/>
  <dc:description/>
  <cp:lastModifiedBy>Djina</cp:lastModifiedBy>
  <cp:revision>6</cp:revision>
  <cp:lastPrinted>2010-08-11T09:51:00Z</cp:lastPrinted>
  <dcterms:created xsi:type="dcterms:W3CDTF">2012-02-16T13:31:00Z</dcterms:created>
  <dcterms:modified xsi:type="dcterms:W3CDTF">2012-09-03T10:31:00Z</dcterms:modified>
</cp:coreProperties>
</file>